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36" w:rsidRPr="00812277" w:rsidRDefault="00D659BA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12277"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  <w:drawing>
          <wp:anchor distT="0" distB="3810" distL="114300" distR="114300" simplePos="0" relativeHeight="251658752" behindDoc="0" locked="0" layoutInCell="1" allowOverlap="1" wp14:anchorId="3EDF87E1" wp14:editId="206C8833">
            <wp:simplePos x="0" y="0"/>
            <wp:positionH relativeFrom="column">
              <wp:posOffset>2741930</wp:posOffset>
            </wp:positionH>
            <wp:positionV relativeFrom="paragraph">
              <wp:posOffset>-308610</wp:posOffset>
            </wp:positionV>
            <wp:extent cx="514350" cy="662940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mm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336" w:rsidRPr="00812277" w:rsidRDefault="008E0336">
      <w:pPr>
        <w:pStyle w:val="ConsPlusNormal"/>
        <w:ind w:firstLine="5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71B2C" w:rsidRDefault="00571B2C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</w:p>
    <w:p w:rsidR="00571B2C" w:rsidRDefault="00571B2C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</w:p>
    <w:p w:rsidR="008E0336" w:rsidRPr="00812277" w:rsidRDefault="00D659B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color w:val="auto"/>
        </w:rPr>
      </w:pPr>
      <w:r w:rsidRPr="00812277"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  <w:t>ЗЕМСКОЕ СОБРАНИЕ ГРЯЗОВЕЦКОГО МУНИЦИПАЛЬНОГО ОКРУГА</w:t>
      </w:r>
    </w:p>
    <w:p w:rsidR="00327853" w:rsidRDefault="00327853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10"/>
          <w:szCs w:val="10"/>
        </w:rPr>
      </w:pPr>
    </w:p>
    <w:p w:rsidR="008E0336" w:rsidRPr="00812277" w:rsidRDefault="00D659B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color w:val="auto"/>
        </w:rPr>
      </w:pPr>
      <w:r w:rsidRPr="00812277">
        <w:rPr>
          <w:rFonts w:ascii="Times New Roman CYR" w:eastAsia="Times New Roman" w:hAnsi="Times New Roman CYR" w:cs="Times New Roman CYR"/>
          <w:b/>
          <w:bCs/>
          <w:color w:val="auto"/>
          <w:sz w:val="36"/>
          <w:szCs w:val="36"/>
        </w:rPr>
        <w:t>РЕШЕНИЕ</w:t>
      </w: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0336" w:rsidRPr="00812277" w:rsidRDefault="00D659BA">
      <w:pPr>
        <w:widowControl w:val="0"/>
        <w:suppressAutoHyphens/>
        <w:spacing w:after="0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812277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от </w:t>
      </w:r>
      <w:r w:rsidR="000F0989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21.02.2023</w:t>
      </w:r>
      <w:r w:rsidR="00822593" w:rsidRPr="00812277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№</w:t>
      </w:r>
      <w:r w:rsidR="000F0989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28</w:t>
      </w:r>
    </w:p>
    <w:p w:rsidR="008E0336" w:rsidRPr="00812277" w:rsidRDefault="00D659BA">
      <w:pPr>
        <w:widowControl w:val="0"/>
        <w:suppressAutoHyphens/>
        <w:spacing w:after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812277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                              </w:t>
      </w:r>
      <w:r w:rsidRPr="00812277">
        <w:rPr>
          <w:rFonts w:ascii="Times New Roman CYR" w:eastAsia="Times New Roman" w:hAnsi="Times New Roman CYR" w:cs="Times New Roman CYR"/>
          <w:color w:val="auto"/>
          <w:sz w:val="20"/>
          <w:szCs w:val="20"/>
        </w:rPr>
        <w:t>г. Грязовец</w:t>
      </w:r>
    </w:p>
    <w:p w:rsidR="008E0336" w:rsidRPr="00812277" w:rsidRDefault="008E0336">
      <w:pPr>
        <w:widowControl w:val="0"/>
        <w:suppressAutoHyphens/>
        <w:spacing w:after="0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p w:rsidR="008E0336" w:rsidRPr="00812277" w:rsidRDefault="00B656A0" w:rsidP="00B656A0">
      <w:pPr>
        <w:pStyle w:val="a8"/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Pr="00B656A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б утверждении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r w:rsidRPr="00B656A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оложения об официальном сайте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Г</w:t>
      </w:r>
      <w:r w:rsidRPr="00B656A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рязовецкого</w:t>
      </w:r>
      <w:proofErr w:type="spellEnd"/>
      <w:r w:rsidRPr="00B656A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муниципального округа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B656A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ологодской области</w:t>
      </w: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8E0336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С целью обеспечения реализации прав граждан и организаций на доступ к информации о деятельности органов местного самоуправления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округа, в соответствии со </w:t>
      </w:r>
      <w:hyperlink r:id="rId6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статьями 37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hyperlink r:id="rId7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41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Фед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ерального закона от 06.10.2003 № 131-ФЗ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общих принципах организации местного самоуп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равления в Российской Федерации»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Федеральным </w:t>
      </w:r>
      <w:hyperlink r:id="rId8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от 09.02.2009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№ 8-ФЗ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обеспечении доступа к информации о деятельности государственных органов и органов местного само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управления»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D3783B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постановлением Губернатора Вологодской области от 15.12.2022 № 265 «О реализации проекта по развертыванию и публикации в информационно-телекоммуникационной сети «Интернет» официальных сайтов, реализованных на базе федеральной государственной информационной системы «Единый портал государственных и муниципальных услуг (функций)», </w:t>
      </w:r>
      <w:hyperlink r:id="rId9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Вологодской области</w:t>
      </w:r>
      <w:r w:rsidR="00D659BA" w:rsidRPr="00B656A0">
        <w:rPr>
          <w:rFonts w:ascii="Times New Roman" w:hAnsi="Times New Roman" w:cs="Times New Roman"/>
        </w:rPr>
        <w:t>,</w:t>
      </w:r>
    </w:p>
    <w:p w:rsidR="008E0336" w:rsidRPr="00812277" w:rsidRDefault="00D659BA" w:rsidP="000F0989">
      <w:pPr>
        <w:pStyle w:val="a8"/>
        <w:spacing w:after="0" w:line="240" w:lineRule="auto"/>
        <w:ind w:firstLine="709"/>
        <w:jc w:val="both"/>
        <w:rPr>
          <w:color w:val="auto"/>
        </w:rPr>
      </w:pPr>
      <w:r w:rsidRPr="00812277">
        <w:rPr>
          <w:rFonts w:ascii="Times New Roman" w:hAnsi="Times New Roman" w:cs="Times New Roman"/>
          <w:b/>
          <w:color w:val="auto"/>
          <w:sz w:val="26"/>
          <w:szCs w:val="26"/>
        </w:rPr>
        <w:t>Земское Собрание округа РЕШИЛО:</w:t>
      </w:r>
      <w:r w:rsidRPr="00812277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B656A0" w:rsidRPr="00B656A0" w:rsidRDefault="00812277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2277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B656A0"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Определить сайт по электронному адресу https://35gryazovetskij.gosuslugi.ru официальным сайтом </w:t>
      </w:r>
      <w:proofErr w:type="spellStart"/>
      <w:r w:rsidR="00B656A0"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="00B656A0"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 в информационно-телекоммуникационной сети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«Интернет»</w:t>
      </w:r>
      <w:r w:rsidR="00B656A0"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27853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2. Утвердить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прилагаемое 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об официальном сайте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ного округа Вологодской области.</w:t>
      </w:r>
    </w:p>
    <w:p w:rsidR="00B656A0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3. Администрации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округа:</w:t>
      </w:r>
    </w:p>
    <w:p w:rsidR="00B656A0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3.1. в срок до 1 марта 2023 года ввести в эксплуатацию официальный сайт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 информационно-телекоммуникационной сети "Интернет" (далее - сайт) в качестве общедоступного ресурса с сетевым адресом: https://35gryazovetskij.gosuslugi.ru;</w:t>
      </w:r>
    </w:p>
    <w:p w:rsidR="00B656A0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3.2. определить структуру сайта, перечень информации, подлежащей размещению на сайте, порядок подготовки, предоставления и размещения информации на сайте, требования к технологическим, программным и лингвистическим средствам обеспечения пользования сайтом;</w:t>
      </w:r>
    </w:p>
    <w:p w:rsidR="00B656A0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3.3. обеспечить организационно-техническое сопровождение и организацию информационного обеспечения сайта в соответствии с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утвержденным 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Положением</w:t>
      </w:r>
      <w:r w:rsidR="00327853" w:rsidRPr="00327853">
        <w:rPr>
          <w:rFonts w:ascii="Times New Roman" w:hAnsi="Times New Roman" w:cs="Times New Roman"/>
          <w:color w:val="auto"/>
          <w:sz w:val="26"/>
          <w:szCs w:val="26"/>
        </w:rPr>
        <w:t xml:space="preserve"> об официальном сайте </w:t>
      </w:r>
      <w:proofErr w:type="spellStart"/>
      <w:r w:rsidR="00327853" w:rsidRPr="00327853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="00327853" w:rsidRPr="0032785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656A0" w:rsidRPr="00B656A0" w:rsidRDefault="00B656A0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4. Установить, что в период до ввода в эксплуатацию официального сайта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Вологодской области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указанного в пункте 1 настоящего решения, сайт по электронному адресу </w:t>
      </w:r>
      <w:r>
        <w:rPr>
          <w:rFonts w:ascii="Times New Roman" w:hAnsi="Times New Roman" w:cs="Times New Roman"/>
          <w:color w:val="auto"/>
          <w:sz w:val="26"/>
          <w:szCs w:val="26"/>
        </w:rPr>
        <w:t>https://gradm.ru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является официальным сайтом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 в информаци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онно-телекоммуникационной сети «Интернет»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85DD4" w:rsidRDefault="002B791E" w:rsidP="00385DD4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 Признать утратившими силу решение З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емского Собрания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от </w:t>
      </w:r>
      <w:r w:rsidR="00385DD4">
        <w:rPr>
          <w:rFonts w:ascii="Times New Roman" w:hAnsi="Times New Roman" w:cs="Times New Roman"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color w:val="auto"/>
          <w:sz w:val="26"/>
          <w:szCs w:val="26"/>
        </w:rPr>
        <w:t>.08.20</w:t>
      </w:r>
      <w:r w:rsidR="00385DD4">
        <w:rPr>
          <w:rFonts w:ascii="Times New Roman" w:hAnsi="Times New Roman" w:cs="Times New Roman"/>
          <w:color w:val="auto"/>
          <w:sz w:val="26"/>
          <w:szCs w:val="26"/>
        </w:rPr>
        <w:t>14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385DD4">
        <w:rPr>
          <w:rFonts w:ascii="Times New Roman" w:hAnsi="Times New Roman" w:cs="Times New Roman"/>
          <w:color w:val="auto"/>
          <w:sz w:val="26"/>
          <w:szCs w:val="26"/>
        </w:rPr>
        <w:t>07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5DD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85DD4" w:rsidRPr="00385DD4">
        <w:rPr>
          <w:rFonts w:ascii="Times New Roman" w:hAnsi="Times New Roman" w:cs="Times New Roman"/>
          <w:color w:val="auto"/>
          <w:sz w:val="26"/>
          <w:szCs w:val="26"/>
        </w:rPr>
        <w:t xml:space="preserve">Об официальном интернет-сайте </w:t>
      </w:r>
      <w:proofErr w:type="spellStart"/>
      <w:r w:rsidR="00385DD4" w:rsidRPr="00385DD4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="00385DD4" w:rsidRPr="00385DD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="00385DD4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27853" w:rsidRDefault="00327853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 Настоящее решение вступает в силу со дня его принятия.</w:t>
      </w:r>
    </w:p>
    <w:p w:rsidR="00327853" w:rsidRDefault="00327853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7853" w:rsidRPr="00812277" w:rsidRDefault="00327853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0336" w:rsidRPr="00812277" w:rsidRDefault="008E0336" w:rsidP="000F0989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3"/>
        <w:gridCol w:w="5080"/>
      </w:tblGrid>
      <w:tr w:rsidR="00812277" w:rsidRPr="00812277" w:rsidTr="00822593">
        <w:trPr>
          <w:trHeight w:val="25"/>
        </w:trPr>
        <w:tc>
          <w:tcPr>
            <w:tcW w:w="4843" w:type="dxa"/>
            <w:shd w:val="clear" w:color="auto" w:fill="auto"/>
          </w:tcPr>
          <w:p w:rsidR="008E0336" w:rsidRPr="00812277" w:rsidRDefault="00D659BA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Председатель Земского Собрания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Грязовецкого</w:t>
            </w:r>
            <w:proofErr w:type="spellEnd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округа</w:t>
            </w:r>
          </w:p>
          <w:p w:rsidR="008E0336" w:rsidRPr="00812277" w:rsidRDefault="008E0336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E0336" w:rsidRPr="00812277" w:rsidRDefault="00D659BA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5080" w:type="dxa"/>
            <w:shd w:val="clear" w:color="auto" w:fill="auto"/>
          </w:tcPr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Глава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Грязовецкого</w:t>
            </w:r>
            <w:proofErr w:type="spellEnd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</w:t>
            </w:r>
          </w:p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</w:p>
          <w:p w:rsidR="008E0336" w:rsidRPr="00812277" w:rsidRDefault="008E0336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________________      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С.А.Фёкличев</w:t>
            </w:r>
            <w:proofErr w:type="spellEnd"/>
          </w:p>
          <w:p w:rsidR="008E0336" w:rsidRPr="00812277" w:rsidRDefault="008E0336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812277" w:rsidRPr="00812277" w:rsidRDefault="00812277" w:rsidP="000F0989">
      <w:pPr>
        <w:pStyle w:val="ConsPlusNormal"/>
        <w:ind w:firstLine="51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2277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12277" w:rsidRPr="00812277" w:rsidRDefault="00812277" w:rsidP="000F0989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</w:pPr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lastRenderedPageBreak/>
        <w:t>Приложение</w:t>
      </w:r>
    </w:p>
    <w:p w:rsidR="00812277" w:rsidRPr="00812277" w:rsidRDefault="00812277" w:rsidP="000F0989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</w:pPr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>У</w:t>
      </w:r>
      <w:r w:rsidR="00327853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 xml:space="preserve">тверждено </w:t>
      </w:r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 xml:space="preserve">решением Земского Собрания </w:t>
      </w:r>
      <w:proofErr w:type="spellStart"/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>Грязовецкого</w:t>
      </w:r>
      <w:proofErr w:type="spellEnd"/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 xml:space="preserve"> муниципального округа Вологодской области</w:t>
      </w:r>
      <w:r w:rsidR="00327853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 xml:space="preserve"> </w:t>
      </w:r>
      <w:r w:rsidRPr="00812277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>от</w:t>
      </w:r>
      <w:r w:rsidR="000F0989"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  <w:t xml:space="preserve"> 21.02.2023 № 28</w:t>
      </w:r>
    </w:p>
    <w:p w:rsidR="00812277" w:rsidRPr="00812277" w:rsidRDefault="00812277" w:rsidP="000F09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</w:pPr>
    </w:p>
    <w:p w:rsidR="00B656A0" w:rsidRDefault="00B656A0" w:rsidP="000F09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>Положение</w:t>
      </w:r>
    </w:p>
    <w:p w:rsidR="00B656A0" w:rsidRDefault="00B656A0" w:rsidP="000F098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</w:pPr>
      <w:r w:rsidRPr="00B656A0"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 xml:space="preserve">об официальном сайте </w:t>
      </w:r>
      <w:proofErr w:type="spellStart"/>
      <w:r w:rsidRPr="00B656A0"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>Гря</w:t>
      </w:r>
      <w:r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>зовецкого</w:t>
      </w:r>
      <w:proofErr w:type="spellEnd"/>
      <w:r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 xml:space="preserve"> муниципального округа</w:t>
      </w:r>
    </w:p>
    <w:p w:rsidR="00812277" w:rsidRPr="00812277" w:rsidRDefault="00B656A0" w:rsidP="000F09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</w:pPr>
      <w:r w:rsidRPr="00B656A0">
        <w:rPr>
          <w:rFonts w:ascii="Liberation Serif" w:eastAsia="Segoe UI" w:hAnsi="Liberation Serif" w:cs="Times New Roman"/>
          <w:b/>
          <w:color w:val="auto"/>
          <w:sz w:val="26"/>
          <w:szCs w:val="26"/>
          <w:lang w:eastAsia="zh-CN" w:bidi="hi-IN"/>
        </w:rPr>
        <w:t>Вологодской области</w:t>
      </w:r>
    </w:p>
    <w:p w:rsidR="00812277" w:rsidRPr="00812277" w:rsidRDefault="00812277" w:rsidP="000F09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Segoe UI" w:hAnsi="Liberation Serif" w:cs="Times New Roman"/>
          <w:color w:val="auto"/>
          <w:sz w:val="26"/>
          <w:szCs w:val="26"/>
          <w:lang w:eastAsia="zh-CN" w:bidi="hi-IN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B656A0" w:rsidRPr="00B656A0" w:rsidRDefault="00B656A0" w:rsidP="00B656A0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1.1. Настоящее Положение об официальном сайте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 (далее - Положение) разработано в соответствии с </w:t>
      </w:r>
      <w:hyperlink r:id="rId10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Федерации, Федеральным </w:t>
      </w:r>
      <w:hyperlink r:id="rId11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от 06.10.2003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№ 131-ФЗ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общих принципах организации местного самоуп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равления в Российской Федерации»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Федеральным </w:t>
      </w:r>
      <w:hyperlink r:id="rId12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от 09.02.2009 № 8-ФЗ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D3783B" w:rsidRPr="00D3783B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постановлением Губернатора Вологодской области от 15.12.2022 № 265 «О реализации проекта по развертыванию и публикации в информационно-телекоммуникационной сети «Интернет» официальных сайтов, реализованных на базе федеральной государственной информационной системы «Единый портал государственных и муниципальных услуг (функций)», </w:t>
      </w:r>
      <w:hyperlink r:id="rId13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Вологодской области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1.2. Официальный сайт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 (далее -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айт) является официальным источником информации о деятельности органов местного самоуправления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1.3. Адрес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айта в информаци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онно-телекоммуникационной сети «Интернет»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(далее - сеть Интернет): https://35gryazovetskij.gosuslugi.ru.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1.4. Основными задачами деятельности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айта являются: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- обеспечение гласности деятельности органов местного самоуправления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и доступности муниципальных информационных ресурсов;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публикация информации, имеющей открытый характер и предназначенной для сведения организаций и граждан;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- создание условий для эффективного взаимодействия, в том числе информационного, органов местного самоуправления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с гражданами, общественными организациями и хозяйствующими субъектами;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оперативное и объективное и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нформирование о происходящих в </w:t>
      </w:r>
      <w:proofErr w:type="spellStart"/>
      <w:r w:rsidR="00327853">
        <w:rPr>
          <w:rFonts w:ascii="Times New Roman" w:hAnsi="Times New Roman" w:cs="Times New Roman"/>
          <w:color w:val="auto"/>
          <w:sz w:val="26"/>
          <w:szCs w:val="26"/>
        </w:rPr>
        <w:t>Грязовецком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 округе общественно-политических и социально-экономических процессах.</w:t>
      </w:r>
    </w:p>
    <w:p w:rsidR="00B656A0" w:rsidRPr="00B656A0" w:rsidRDefault="00327853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1.5. На с</w:t>
      </w:r>
      <w:r w:rsidR="00B656A0" w:rsidRPr="00B656A0">
        <w:rPr>
          <w:rFonts w:ascii="Times New Roman" w:hAnsi="Times New Roman" w:cs="Times New Roman"/>
          <w:color w:val="auto"/>
          <w:sz w:val="26"/>
          <w:szCs w:val="26"/>
        </w:rPr>
        <w:t>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различные информационные ресурсы в сети Интернет.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1.6. Понятия и термины, не определенные в настоящем Положении, используются в значениях, установленных федеральными законами от 27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.07.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2006 </w:t>
      </w:r>
      <w:hyperlink r:id="rId14">
        <w:r w:rsidR="00327853">
          <w:rPr>
            <w:rFonts w:ascii="Times New Roman" w:hAnsi="Times New Roman" w:cs="Times New Roman"/>
            <w:color w:val="auto"/>
            <w:sz w:val="26"/>
            <w:szCs w:val="26"/>
          </w:rPr>
          <w:t>№</w:t>
        </w:r>
      </w:hyperlink>
      <w:r w:rsidR="003278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 xml:space="preserve">149 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информации, информационных технологиях и о защите информации</w:t>
      </w:r>
      <w:r w:rsidR="00327853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, от 27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.07.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2006</w:t>
      </w:r>
      <w:hyperlink r:id="rId15">
        <w:r w:rsidR="00DD60F1">
          <w:rPr>
            <w:rFonts w:ascii="Times New Roman" w:hAnsi="Times New Roman" w:cs="Times New Roman"/>
            <w:color w:val="auto"/>
            <w:sz w:val="26"/>
            <w:szCs w:val="26"/>
          </w:rPr>
          <w:t xml:space="preserve"> №</w:t>
        </w:r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 xml:space="preserve"> 152-ФЗ</w:t>
        </w:r>
      </w:hyperlink>
      <w:r w:rsidR="00DD60F1">
        <w:rPr>
          <w:rFonts w:ascii="Times New Roman" w:hAnsi="Times New Roman" w:cs="Times New Roman"/>
          <w:color w:val="auto"/>
          <w:sz w:val="26"/>
          <w:szCs w:val="26"/>
        </w:rPr>
        <w:t xml:space="preserve"> «О персональных данных»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, от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.02.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2009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6">
        <w:r w:rsidR="00DD60F1">
          <w:rPr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 xml:space="preserve"> 8-ФЗ</w:t>
        </w:r>
      </w:hyperlink>
      <w:r w:rsidR="00DD60F1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Об 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lastRenderedPageBreak/>
        <w:t>обеспечении доступа к информации о деятельности государственных органов и органов местного самоуправлен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ия»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DD60F1" w:rsidP="000F0989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 Размещение информации на с</w:t>
      </w:r>
      <w:r w:rsidR="00B656A0" w:rsidRPr="00B656A0">
        <w:rPr>
          <w:rFonts w:ascii="Times New Roman" w:hAnsi="Times New Roman" w:cs="Times New Roman"/>
          <w:b/>
          <w:color w:val="auto"/>
          <w:sz w:val="26"/>
          <w:szCs w:val="26"/>
        </w:rPr>
        <w:t>айте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2.1. Информация, размещаемая на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айте, носит официальный характер, является публичной и бесплатной. На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айте может размещаться информация, не носящая официального характера, с обязательным уведомлением о ее источнике и статусе.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2.2. Пользователями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айта являются физические и юридические лица, общественные объединения, государственные органы, органы местного самоуправления, получающие доступ к информации, размещенной на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айте, с использованием сети Интернет.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2.3. Структура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айта, перечень информации, подлежащей размещению на сайте, порядок подготовки, предоставления и размещения информации на сайте регулируются постановлениями администрации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0F0989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Ограничения по использованию </w:t>
      </w:r>
      <w:r w:rsidR="00DD60F1">
        <w:rPr>
          <w:rFonts w:ascii="Times New Roman" w:hAnsi="Times New Roman" w:cs="Times New Roman"/>
          <w:b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>айта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3.1. Запрещается размещение на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айте: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сведений о фактах, событиях и обстоятельствах частной жизни граждан, позволяющих идентифицировать их личность, за исключением сведений, подлежащих распространению в средствах массовой информации в случаях, установленных нормативными правовыми актами Российской Федерации;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- сведений, составляющих тайну следствия и судопроизводства, а также сведений о защищаемых лицах и мерах государственной защиты, осуществляемой в соответствии с Федеральным </w:t>
      </w:r>
      <w:hyperlink r:id="rId17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от 20.08.2004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служебных сведений, доступ к которым ограничен органами государственной власти в соответствии с гражданским кодексом Российской Федерации и иными нормативными правовыми актами Российской Федерации (сведения, составляющие служебную тайну);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- сведений, связанных с профессиональной деятельностью, доступ к которым ограничен в соответствии с </w:t>
      </w:r>
      <w:hyperlink r:id="rId18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и иными нормативными правовыми актами Российской Федерации (сведений, составляющих врачебную, нотариальную, адвокатскую тайну, тайну переписки, телефонных переговоров, почтовых отправлений, телеграфных и иных сообщений);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- сведений, связанных с коммерческой деятельностью, доступ к которым ограничен в соответствии с Гражданским </w:t>
      </w:r>
      <w:hyperlink r:id="rId19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(сведения, составляющие коммерческую тайну);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сведений, составляющих иную охраняемую законом тайну, другую информацию ограниченного доступа;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экстремистских материалов;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предвыборной агитации и агитации по вопросам референдума;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объектов интеллектуальной собственности, любой иной информации, нарушающей законодательство в сфере интеллектуальной собственности;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рекламы (за исключением социальной рекламы);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- вредоносного программного обеспечения;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lastRenderedPageBreak/>
        <w:t>- информации, содержащей ненормативную лексику.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>4. Организационно-техническое обеспечение</w:t>
      </w:r>
      <w:r w:rsidR="00DD60F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сайта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4.1. Ответственность за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организационно-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техническое </w:t>
      </w:r>
      <w:r w:rsidR="00DD60F1">
        <w:rPr>
          <w:rFonts w:ascii="Times New Roman" w:hAnsi="Times New Roman" w:cs="Times New Roman"/>
          <w:color w:val="auto"/>
          <w:sz w:val="26"/>
          <w:szCs w:val="26"/>
        </w:rPr>
        <w:t>обеспечение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сайта возлагается на администрацию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>5. Опубликование информации</w:t>
      </w:r>
      <w:r w:rsidR="00DD60F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на сайте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5.1. Администрация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выполняет функции по обработке, размещению и редактированию переданной поставщиками информации, имеет право на стилистическую и грамматическую корректуру информации, направляемой для размещения на сайте (за исключением размещаемых на сайте муниципальных правовых актов).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5.2. Поставщиками информации, размещенной на сайте, являются органы местного самоуправления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округа, </w:t>
      </w:r>
      <w:r>
        <w:rPr>
          <w:rFonts w:ascii="Times New Roman" w:hAnsi="Times New Roman" w:cs="Times New Roman"/>
          <w:color w:val="auto"/>
          <w:sz w:val="26"/>
          <w:szCs w:val="26"/>
        </w:rPr>
        <w:t>отраслевы</w:t>
      </w:r>
      <w:r w:rsidR="00687C46"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(функциональные), территориальные 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органы администрации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округа, уполномоченные администрацией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муниципальные учреждения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="002B791E">
        <w:rPr>
          <w:rFonts w:ascii="Times New Roman" w:hAnsi="Times New Roman" w:cs="Times New Roman"/>
          <w:color w:val="auto"/>
          <w:sz w:val="26"/>
          <w:szCs w:val="26"/>
        </w:rPr>
        <w:t xml:space="preserve">, Территориальная избирательная комиссия </w:t>
      </w:r>
      <w:proofErr w:type="spellStart"/>
      <w:r w:rsidR="002B791E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="002B791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Поставщики информации, размещаемой на сайте: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5.2.1. передают информацию для размещения на сайте в соответствии с перечнем информации о деятельности органов местного самоуправления, размещаемой в сети интернет, и порядком подготовки и размещения информации на официальном сайте, утвержденными постановлениями администрации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5.2.2. несут ответственность за полноту, достоверность и актуальность размещенной на сайте информации.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0F0989">
      <w:pPr>
        <w:pStyle w:val="a8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b/>
          <w:color w:val="auto"/>
          <w:sz w:val="26"/>
          <w:szCs w:val="26"/>
        </w:rPr>
        <w:t>6. Защита информации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6.1. В целях защиты общедоступной информации, размещенной на сайте в форме открытых данных, в соответствии с действующим законодательством и с учетом положений </w:t>
      </w:r>
      <w:hyperlink r:id="rId20">
        <w:r w:rsidRPr="00B656A0">
          <w:rPr>
            <w:rFonts w:ascii="Times New Roman" w:hAnsi="Times New Roman" w:cs="Times New Roman"/>
            <w:color w:val="auto"/>
            <w:sz w:val="26"/>
            <w:szCs w:val="26"/>
          </w:rPr>
          <w:t>Приказа</w:t>
        </w:r>
      </w:hyperlink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B656A0">
        <w:rPr>
          <w:rFonts w:ascii="Times New Roman" w:hAnsi="Times New Roman" w:cs="Times New Roman"/>
          <w:color w:val="auto"/>
          <w:sz w:val="26"/>
          <w:szCs w:val="26"/>
        </w:rPr>
        <w:t>Минкомсвязи</w:t>
      </w:r>
      <w:proofErr w:type="spellEnd"/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России от 25</w:t>
      </w:r>
      <w:r w:rsidR="00687C46">
        <w:rPr>
          <w:rFonts w:ascii="Times New Roman" w:hAnsi="Times New Roman" w:cs="Times New Roman"/>
          <w:color w:val="auto"/>
          <w:sz w:val="26"/>
          <w:szCs w:val="26"/>
        </w:rPr>
        <w:t>.08.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2009</w:t>
      </w:r>
      <w:r w:rsidR="00687C46">
        <w:rPr>
          <w:rFonts w:ascii="Times New Roman" w:hAnsi="Times New Roman" w:cs="Times New Roman"/>
          <w:color w:val="auto"/>
          <w:sz w:val="26"/>
          <w:szCs w:val="26"/>
        </w:rPr>
        <w:t xml:space="preserve"> № 104 «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>Об утверждении Требований по обеспечению целостности, устойчивости функционирования и безопасности информаци</w:t>
      </w:r>
      <w:r w:rsidR="00687C46">
        <w:rPr>
          <w:rFonts w:ascii="Times New Roman" w:hAnsi="Times New Roman" w:cs="Times New Roman"/>
          <w:color w:val="auto"/>
          <w:sz w:val="26"/>
          <w:szCs w:val="26"/>
        </w:rPr>
        <w:t>онных систем общего пользования»</w:t>
      </w:r>
      <w:r w:rsidRPr="00B656A0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обеспечивать: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1) использование сертифицированных в порядке,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2)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B656A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lastRenderedPageBreak/>
        <w:t>3)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 время, содержание изменений и информацию лице ответственном за размещение информации на сайте.</w:t>
      </w:r>
    </w:p>
    <w:p w:rsidR="00960950" w:rsidRPr="00B656A0" w:rsidRDefault="00B656A0" w:rsidP="00B656A0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56A0">
        <w:rPr>
          <w:rFonts w:ascii="Times New Roman" w:hAnsi="Times New Roman" w:cs="Times New Roman"/>
          <w:color w:val="auto"/>
          <w:sz w:val="26"/>
          <w:szCs w:val="26"/>
        </w:rPr>
        <w:t>6.2. Общедоступная информация в форме открытых данных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960950" w:rsidRPr="00B656A0" w:rsidSect="0082259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ymbol"/>
    <w:charset w:val="00"/>
    <w:family w:val="auto"/>
    <w:pitch w:val="default"/>
  </w:font>
  <w:font w:name="Liberation Sans">
    <w:altName w:val="Times New Roman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2008"/>
    <w:multiLevelType w:val="hybridMultilevel"/>
    <w:tmpl w:val="30220BFE"/>
    <w:lvl w:ilvl="0" w:tplc="6338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F0A0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5CFD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2AFE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100F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6C01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3AED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28EA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1058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6"/>
    <w:rsid w:val="000320F2"/>
    <w:rsid w:val="000F0989"/>
    <w:rsid w:val="0019791B"/>
    <w:rsid w:val="002B791E"/>
    <w:rsid w:val="00327853"/>
    <w:rsid w:val="00385DD4"/>
    <w:rsid w:val="00394E52"/>
    <w:rsid w:val="00571B2C"/>
    <w:rsid w:val="00687C46"/>
    <w:rsid w:val="006C51B9"/>
    <w:rsid w:val="00743C26"/>
    <w:rsid w:val="00812277"/>
    <w:rsid w:val="00822593"/>
    <w:rsid w:val="008E0336"/>
    <w:rsid w:val="00960950"/>
    <w:rsid w:val="00AC1191"/>
    <w:rsid w:val="00B108C2"/>
    <w:rsid w:val="00B656A0"/>
    <w:rsid w:val="00B7534D"/>
    <w:rsid w:val="00B769BF"/>
    <w:rsid w:val="00D3783B"/>
    <w:rsid w:val="00D659BA"/>
    <w:rsid w:val="00DD60F1"/>
    <w:rsid w:val="00E836E2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9808"/>
  <w15:docId w15:val="{A13D9B88-952C-432B-9B1F-7541528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B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6A5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60B8B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C389E"/>
    <w:pPr>
      <w:widowControl w:val="0"/>
      <w:spacing w:line="240" w:lineRule="auto"/>
    </w:pPr>
    <w:rPr>
      <w:rFonts w:ascii="Arial" w:eastAsiaTheme="minorEastAsia" w:hAnsi="Arial" w:cs="Arial"/>
      <w:color w:val="00000A"/>
      <w:lang w:eastAsia="ru-RU"/>
    </w:rPr>
  </w:style>
  <w:style w:type="paragraph" w:customStyle="1" w:styleId="ConsPlusNonformat">
    <w:name w:val="ConsPlusNonformat"/>
    <w:qFormat/>
    <w:rsid w:val="008C389E"/>
    <w:pPr>
      <w:widowControl w:val="0"/>
      <w:spacing w:line="240" w:lineRule="auto"/>
    </w:pPr>
    <w:rPr>
      <w:rFonts w:ascii="Courier New" w:eastAsiaTheme="minorEastAsia" w:hAnsi="Courier New" w:cs="Courier New"/>
      <w:color w:val="00000A"/>
      <w:lang w:eastAsia="ru-RU"/>
    </w:rPr>
  </w:style>
  <w:style w:type="paragraph" w:customStyle="1" w:styleId="ConsPlusTitle">
    <w:name w:val="ConsPlusTitle"/>
    <w:qFormat/>
    <w:rsid w:val="008C389E"/>
    <w:pPr>
      <w:widowControl w:val="0"/>
      <w:spacing w:line="240" w:lineRule="auto"/>
    </w:pPr>
    <w:rPr>
      <w:rFonts w:ascii="Arial" w:eastAsiaTheme="minorEastAsia" w:hAnsi="Arial" w:cs="Arial"/>
      <w:b/>
      <w:color w:val="00000A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60B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link w:val="ae"/>
    <w:unhideWhenUsed/>
    <w:qFormat/>
    <w:rsid w:val="004555D1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10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веб) Знак"/>
    <w:basedOn w:val="a0"/>
    <w:link w:val="ad"/>
    <w:rsid w:val="0096095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itlePage">
    <w:name w:val="ConsPlusTitlePage"/>
    <w:rsid w:val="00B656A0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59977ABE5F4CB9FCD88F1601FECD3FF00A7D3BDC98588D6DA41C72B9206DFDAE0EB4601827755D9CCE1E804E2E0FDE3A4C4CFX3z2N" TargetMode="External"/><Relationship Id="rId13" Type="http://schemas.openxmlformats.org/officeDocument/2006/relationships/hyperlink" Target="consultantplus://offline/ref=C7559977ABE5F4CB9FCD96FC7673B2D7FE09FBDEBFCF8DDC8E89479074C2008A9AA0ED1144CD2E059D99E9E10DF7B4AEB9F3C9CD395507B6984617BBX3z2N" TargetMode="External"/><Relationship Id="rId18" Type="http://schemas.openxmlformats.org/officeDocument/2006/relationships/hyperlink" Target="consultantplus://offline/ref=C7559977ABE5F4CB9FCD88F1601FECD3F90AA2D6B698D28A878F4FC223C25CCFCCA9E64D1989211A9F99EEXEz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559977ABE5F4CB9FCD88F1601FECD3FF00A7D1B8CE8588D6DA41C72B9206DFDAE0EB44078926069892B8B948A9EDFFF5B8C4CF2F4907B6X8z5N" TargetMode="External"/><Relationship Id="rId12" Type="http://schemas.openxmlformats.org/officeDocument/2006/relationships/hyperlink" Target="consultantplus://offline/ref=C7559977ABE5F4CB9FCD88F1601FECD3FF00A7D3BDC98588D6DA41C72B9206DFDAE0EB4601827755D9CCE1E804E2E0FDE3A4C4CFX3z2N" TargetMode="External"/><Relationship Id="rId17" Type="http://schemas.openxmlformats.org/officeDocument/2006/relationships/hyperlink" Target="consultantplus://offline/ref=C7559977ABE5F4CB9FCD88F1601FECD3F80AACD3B4C98588D6DA41C72B9206DFC8E0B34807813D049F87EEE80EXFz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559977ABE5F4CB9FCD88F1601FECD3FF00A7D3BDC98588D6DA41C72B9206DFDAE0EB44078923049492B8B948A9EDFFF5B8C4CF2F4907B6X8z5N" TargetMode="External"/><Relationship Id="rId20" Type="http://schemas.openxmlformats.org/officeDocument/2006/relationships/hyperlink" Target="consultantplus://offline/ref=C7559977ABE5F4CB9FCD88F1601FECD3F200A4D5BDC5D882DE834DC52C9D59C8DDA9E7450789220596CDBDAC59F1E0F7E3A6C6D3334B05XBz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559977ABE5F4CB9FCD88F1601FECD3FF00A7D1B8CE8588D6DA41C72B9206DFDAE0EB44078927029B92B8B948A9EDFFF5B8C4CF2F4907B6X8z5N" TargetMode="External"/><Relationship Id="rId11" Type="http://schemas.openxmlformats.org/officeDocument/2006/relationships/hyperlink" Target="consultantplus://offline/ref=C7559977ABE5F4CB9FCD88F1601FECD3FF00A7D1B8CE8588D6DA41C72B9206DFDAE0EB44078820019B92B8B948A9EDFFF5B8C4CF2F4907B6X8z5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559977ABE5F4CB9FCD88F1601FECD3FF00A7D1B9CF8588D6DA41C72B9206DFDAE0EB44078921079892B8B948A9EDFFF5B8C4CF2F4907B6X8z5N" TargetMode="External"/><Relationship Id="rId10" Type="http://schemas.openxmlformats.org/officeDocument/2006/relationships/hyperlink" Target="consultantplus://offline/ref=C7559977ABE5F4CB9FCD88F1601FECD3F90AA2D6B698D28A878F4FC223C25CCFCCA9E64D1989211A9F99EEXEzBN" TargetMode="External"/><Relationship Id="rId19" Type="http://schemas.openxmlformats.org/officeDocument/2006/relationships/hyperlink" Target="consultantplus://offline/ref=C7559977ABE5F4CB9FCD88F1601FECD3FF03ADD2BBC98588D6DA41C72B9206DFC8E0B34807813D049F87EEE80EXF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559977ABE5F4CB9FCD96FC7673B2D7FE09FBDEBFCF8DDC8E89479074C2008A9AA0ED1144CD2E059D99E9E10DF7B4AEB9F3C9CD395507B6984617BBX3z2N" TargetMode="External"/><Relationship Id="rId14" Type="http://schemas.openxmlformats.org/officeDocument/2006/relationships/hyperlink" Target="consultantplus://offline/ref=C7559977ABE5F4CB9FCD88F1601FECD3FF01A3D5BBCD8588D6DA41C72B9206DFDAE0EB44078923059992B8B948A9EDFFF5B8C4CF2F4907B6X8z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Ж.Л. Бобыкина</cp:lastModifiedBy>
  <cp:revision>8</cp:revision>
  <cp:lastPrinted>2023-02-22T06:06:00Z</cp:lastPrinted>
  <dcterms:created xsi:type="dcterms:W3CDTF">2023-02-14T10:10:00Z</dcterms:created>
  <dcterms:modified xsi:type="dcterms:W3CDTF">2023-02-22T06:25:00Z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