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34" w:rsidRDefault="00B82B34">
      <w:pPr>
        <w:pStyle w:val="Standard"/>
        <w:ind w:hanging="284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p w:rsidR="00B82B34" w:rsidRDefault="009A7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</w:rPr>
        <w:object w:dxaOrig="738" w:dyaOrig="811" w14:anchorId="6AF00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OLE-объект" style="width:36.75pt;height:40.5pt;visibility:visible;mso-wrap-style:square" o:ole="">
            <v:imagedata r:id="rId7" o:title="OLE-объект"/>
          </v:shape>
          <o:OLEObject Type="Embed" ProgID="StaticMetafile" ShapeID="1" DrawAspect="Content" ObjectID="_1736948112" r:id="rId8"/>
        </w:object>
      </w:r>
    </w:p>
    <w:p w:rsidR="00B82B34" w:rsidRDefault="009A7015">
      <w:pPr>
        <w:pStyle w:val="Standard"/>
        <w:tabs>
          <w:tab w:val="left" w:pos="0"/>
        </w:tabs>
        <w:ind w:left="432" w:hanging="432"/>
        <w:jc w:val="center"/>
        <w:rPr>
          <w:rFonts w:ascii="Liberation Serif" w:eastAsia="Liberation Serif" w:hAnsi="Liberation Serif" w:cs="Liberation Serif"/>
          <w:b/>
          <w:sz w:val="30"/>
        </w:rPr>
      </w:pPr>
      <w:r>
        <w:rPr>
          <w:rFonts w:ascii="Liberation Serif" w:eastAsia="Liberation Serif" w:hAnsi="Liberation Serif" w:cs="Liberation Serif"/>
          <w:b/>
          <w:sz w:val="30"/>
        </w:rPr>
        <w:t xml:space="preserve"> </w:t>
      </w:r>
    </w:p>
    <w:p w:rsidR="00B82B34" w:rsidRDefault="009A7015">
      <w:pPr>
        <w:pStyle w:val="Standard"/>
        <w:tabs>
          <w:tab w:val="left" w:pos="0"/>
        </w:tabs>
        <w:ind w:left="432" w:hanging="432"/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АДМИНИСТРАЦИЯ ГРЯЗОВЕЦКОГО МУНИЦИПАЛЬНОГО ОКРУГА</w:t>
      </w:r>
    </w:p>
    <w:p w:rsidR="00B82B34" w:rsidRDefault="00B82B34">
      <w:pPr>
        <w:pStyle w:val="Standard"/>
        <w:tabs>
          <w:tab w:val="left" w:pos="0"/>
        </w:tabs>
        <w:ind w:left="432" w:hanging="432"/>
        <w:jc w:val="center"/>
        <w:rPr>
          <w:rFonts w:ascii="Liberation Serif" w:eastAsia="Liberation Serif" w:hAnsi="Liberation Serif" w:cs="Liberation Serif"/>
          <w:b/>
          <w:sz w:val="36"/>
        </w:rPr>
      </w:pPr>
    </w:p>
    <w:p w:rsidR="00B82B34" w:rsidRDefault="009A7015">
      <w:pPr>
        <w:pStyle w:val="Standard"/>
        <w:jc w:val="center"/>
        <w:rPr>
          <w:rFonts w:ascii="Liberation Serif" w:eastAsia="Liberation Serif" w:hAnsi="Liberation Serif" w:cs="Liberation Serif"/>
          <w:b/>
          <w:color w:val="auto"/>
          <w:sz w:val="32"/>
        </w:rPr>
      </w:pPr>
      <w:r>
        <w:rPr>
          <w:rFonts w:ascii="Liberation Serif" w:eastAsia="Liberation Serif" w:hAnsi="Liberation Serif" w:cs="Liberation Serif"/>
          <w:b/>
          <w:color w:val="auto"/>
          <w:sz w:val="32"/>
        </w:rPr>
        <w:t>П О С Т А Н О В Л Е Н И Е</w:t>
      </w:r>
    </w:p>
    <w:p w:rsidR="00B82B34" w:rsidRDefault="00B82B34">
      <w:pPr>
        <w:pStyle w:val="Standard"/>
        <w:tabs>
          <w:tab w:val="left" w:pos="0"/>
        </w:tabs>
        <w:ind w:left="432" w:hanging="432"/>
        <w:jc w:val="center"/>
        <w:rPr>
          <w:rFonts w:ascii="Liberation Serif" w:eastAsia="Liberation Serif" w:hAnsi="Liberation Serif" w:cs="Liberation Serif"/>
          <w:b/>
          <w:color w:val="auto"/>
          <w:sz w:val="26"/>
        </w:rPr>
      </w:pPr>
    </w:p>
    <w:p w:rsidR="00B82B34" w:rsidRDefault="00B82B34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B82B34" w:rsidRDefault="00B82B34">
      <w:pPr>
        <w:pStyle w:val="Standard"/>
        <w:rPr>
          <w:rFonts w:ascii="Liberation Serif" w:eastAsia="Times New Roman" w:hAnsi="Liberation Serif" w:cs="Times New Roman"/>
          <w:color w:val="auto"/>
          <w:sz w:val="26"/>
          <w:szCs w:val="26"/>
        </w:rPr>
      </w:pPr>
    </w:p>
    <w:tbl>
      <w:tblPr>
        <w:tblW w:w="3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547"/>
        <w:gridCol w:w="1429"/>
      </w:tblGrid>
      <w:tr w:rsidR="00B82B34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2B34" w:rsidRDefault="009A7015">
            <w:pPr>
              <w:pStyle w:val="Standard"/>
              <w:jc w:val="center"/>
              <w:rPr>
                <w:rFonts w:ascii="Liberation Serif" w:eastAsia="Times New Roman" w:hAnsi="Liberation Serif" w:cs="Times New Roman"/>
                <w:color w:val="auto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6"/>
                <w:szCs w:val="26"/>
              </w:rPr>
              <w:t xml:space="preserve"> 01.01.2023</w:t>
            </w:r>
          </w:p>
        </w:tc>
        <w:tc>
          <w:tcPr>
            <w:tcW w:w="547" w:type="dxa"/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2B34" w:rsidRDefault="009A7015">
            <w:pPr>
              <w:pStyle w:val="Standard"/>
              <w:jc w:val="center"/>
              <w:rPr>
                <w:rFonts w:ascii="Liberation Serif" w:eastAsia="Times New Roman" w:hAnsi="Liberation Serif" w:cs="Times New Roman"/>
                <w:color w:val="auto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2B34" w:rsidRDefault="009A7015">
            <w:pPr>
              <w:pStyle w:val="Standard"/>
              <w:jc w:val="center"/>
              <w:rPr>
                <w:rFonts w:ascii="Liberation Serif" w:eastAsia="Calibri" w:hAnsi="Liberation Serif" w:cs="Calibri"/>
                <w:color w:val="auto"/>
                <w:sz w:val="26"/>
                <w:szCs w:val="26"/>
              </w:rPr>
            </w:pPr>
            <w:r>
              <w:rPr>
                <w:rFonts w:ascii="Liberation Serif" w:eastAsia="Calibri" w:hAnsi="Liberation Serif" w:cs="Calibri"/>
                <w:color w:val="auto"/>
                <w:sz w:val="26"/>
                <w:szCs w:val="26"/>
              </w:rPr>
              <w:t>6</w:t>
            </w:r>
          </w:p>
        </w:tc>
      </w:tr>
    </w:tbl>
    <w:p w:rsidR="00B82B34" w:rsidRDefault="009A7015">
      <w:pPr>
        <w:pStyle w:val="Standard"/>
        <w:ind w:right="5811"/>
        <w:jc w:val="both"/>
        <w:rPr>
          <w:rFonts w:ascii="Liberation Serif" w:eastAsia="Times New Roman" w:hAnsi="Liberation Serif" w:cs="Times New Roman"/>
          <w:color w:val="auto"/>
          <w:sz w:val="26"/>
          <w:szCs w:val="26"/>
        </w:rPr>
      </w:pPr>
      <w:r>
        <w:rPr>
          <w:rFonts w:ascii="Liberation Serif" w:eastAsia="Times New Roman" w:hAnsi="Liberation Serif" w:cs="Times New Roman"/>
          <w:color w:val="auto"/>
          <w:sz w:val="26"/>
          <w:szCs w:val="26"/>
        </w:rPr>
        <w:t xml:space="preserve">                                      </w:t>
      </w:r>
      <w:r>
        <w:rPr>
          <w:rFonts w:ascii="Liberation Serif" w:eastAsia="Times New Roman" w:hAnsi="Liberation Serif" w:cs="Times New Roman"/>
          <w:color w:val="auto"/>
          <w:sz w:val="26"/>
          <w:szCs w:val="26"/>
        </w:rPr>
        <w:tab/>
      </w:r>
    </w:p>
    <w:p w:rsidR="00B82B34" w:rsidRDefault="009A7015">
      <w:pPr>
        <w:pStyle w:val="Standard"/>
        <w:tabs>
          <w:tab w:val="left" w:pos="9712"/>
        </w:tabs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                            </w:t>
      </w:r>
      <w:r>
        <w:rPr>
          <w:rFonts w:ascii="Liberation Serif" w:eastAsia="Liberation Serif" w:hAnsi="Liberation Serif" w:cs="Liberation Serif"/>
        </w:rPr>
        <w:t xml:space="preserve">  г. Грязовец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 </w:t>
      </w:r>
    </w:p>
    <w:p w:rsidR="00B82B34" w:rsidRDefault="00B82B34">
      <w:pPr>
        <w:pStyle w:val="Standard"/>
        <w:rPr>
          <w:rFonts w:ascii="Liberation Serif" w:eastAsia="Times New Roman" w:hAnsi="Liberation Serif" w:cs="Times New Roman"/>
          <w:color w:val="auto"/>
          <w:sz w:val="26"/>
          <w:szCs w:val="26"/>
        </w:rPr>
      </w:pPr>
    </w:p>
    <w:p w:rsidR="00B82B34" w:rsidRDefault="00B82B34">
      <w:pPr>
        <w:pStyle w:val="Standard"/>
        <w:rPr>
          <w:rFonts w:ascii="Liberation Serif" w:eastAsia="Times New Roman" w:hAnsi="Liberation Serif" w:cs="Times New Roman"/>
          <w:color w:val="auto"/>
          <w:sz w:val="26"/>
          <w:szCs w:val="26"/>
        </w:rPr>
      </w:pPr>
    </w:p>
    <w:p w:rsidR="00B82B34" w:rsidRDefault="009A7015">
      <w:pPr>
        <w:widowControl/>
        <w:spacing w:after="160"/>
        <w:ind w:right="-1"/>
        <w:jc w:val="center"/>
        <w:textAlignment w:val="auto"/>
      </w:pPr>
      <w:r>
        <w:rPr>
          <w:rFonts w:ascii="Liberation Serif" w:eastAsia="Calibri" w:hAnsi="Liberation Serif" w:cs="Liberation Serif"/>
          <w:b/>
          <w:kern w:val="0"/>
          <w:sz w:val="26"/>
          <w:szCs w:val="26"/>
          <w:lang w:eastAsia="en-US" w:bidi="ru-RU"/>
        </w:rPr>
        <w:t xml:space="preserve">Об утверждении Положения по организации похоронного дела </w:t>
      </w:r>
      <w:r>
        <w:rPr>
          <w:rFonts w:ascii="Liberation Serif" w:eastAsia="Calibri" w:hAnsi="Liberation Serif" w:cs="Liberation Serif"/>
          <w:b/>
          <w:kern w:val="0"/>
          <w:sz w:val="26"/>
          <w:szCs w:val="26"/>
          <w:lang w:eastAsia="en-US" w:bidi="ru-RU"/>
        </w:rPr>
        <w:br/>
      </w:r>
      <w:r>
        <w:rPr>
          <w:rFonts w:ascii="Liberation Serif" w:eastAsia="Calibri" w:hAnsi="Liberation Serif" w:cs="Liberation Serif"/>
          <w:b/>
          <w:kern w:val="0"/>
          <w:sz w:val="26"/>
          <w:szCs w:val="26"/>
          <w:lang w:eastAsia="en-US" w:bidi="ru-RU"/>
        </w:rPr>
        <w:t>в границах Грязовецкого муниципального округа</w:t>
      </w:r>
    </w:p>
    <w:p w:rsidR="00B82B34" w:rsidRDefault="00B82B34">
      <w:pPr>
        <w:pStyle w:val="Standard"/>
        <w:jc w:val="both"/>
        <w:rPr>
          <w:rFonts w:ascii="Liberation Serif" w:eastAsia="Times New Roman" w:hAnsi="Liberation Serif" w:cs="Liberation Serif"/>
          <w:b/>
          <w:color w:val="auto"/>
          <w:sz w:val="26"/>
          <w:szCs w:val="26"/>
        </w:rPr>
      </w:pPr>
    </w:p>
    <w:p w:rsidR="00B82B34" w:rsidRDefault="00B82B34">
      <w:pPr>
        <w:pStyle w:val="Standard"/>
        <w:jc w:val="both"/>
        <w:rPr>
          <w:rFonts w:ascii="Liberation Serif" w:eastAsia="Times New Roman" w:hAnsi="Liberation Serif" w:cs="Liberation Serif"/>
          <w:b/>
          <w:color w:val="auto"/>
          <w:sz w:val="26"/>
          <w:szCs w:val="26"/>
        </w:rPr>
      </w:pPr>
    </w:p>
    <w:p w:rsidR="00B82B34" w:rsidRDefault="00B82B34">
      <w:pPr>
        <w:pStyle w:val="Standard"/>
        <w:jc w:val="both"/>
        <w:rPr>
          <w:rFonts w:ascii="Liberation Serif" w:eastAsia="Times New Roman" w:hAnsi="Liberation Serif" w:cs="Liberation Serif"/>
          <w:b/>
          <w:color w:val="auto"/>
          <w:sz w:val="26"/>
          <w:szCs w:val="26"/>
        </w:rPr>
      </w:pPr>
    </w:p>
    <w:p w:rsidR="00B82B34" w:rsidRDefault="009A7015">
      <w:pPr>
        <w:widowControl/>
        <w:spacing w:after="160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В соответствии с Федеральным законом от 12.01.1996 № 8-ФЗ «О погребении и похоронном деле», Федеральным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 законом от 06.10.2003 № 131-ФЗ «Об общих принципах организации местного самоуправления в Российской Федерации», Уставом Грязовецкого муниципального округа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 xml:space="preserve">                   </w:t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Администрация Грязовецкого муниципального округа ПОСТАНОВЛЯЕТ:</w:t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1. Утвердить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>Положение по организации похоронного дела в границах Грязовецкого муниципального округа, согласно приложению к настоящему постановлению.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  <w:t>2.</w:t>
      </w:r>
      <w:r>
        <w:rPr>
          <w:rFonts w:ascii="Liberation Serif" w:eastAsia="Times New Roman" w:hAnsi="Liberation Serif" w:cs="Liberation Serif"/>
          <w:kern w:val="0"/>
          <w:sz w:val="26"/>
          <w:szCs w:val="26"/>
          <w:lang w:eastAsia="en-US" w:bidi="ru-RU"/>
        </w:rPr>
        <w:t>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>Настоящее постановление вступает в силу с момента его подписания и распространяется на правоотношения возни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>кшие  с 01 января 2023 г.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3. Настоящее постановление  подлежит размещению на официальном сайте Грязовецкого муниципального округа</w:t>
      </w:r>
    </w:p>
    <w:p w:rsidR="00B82B34" w:rsidRDefault="00B82B34">
      <w:pPr>
        <w:pStyle w:val="Standard"/>
        <w:spacing w:line="276" w:lineRule="auto"/>
        <w:rPr>
          <w:rFonts w:ascii="Liberation Serif" w:eastAsia="Liberation Serif" w:hAnsi="Liberation Serif" w:cs="Liberation Serif"/>
          <w:sz w:val="26"/>
          <w:szCs w:val="26"/>
        </w:rPr>
      </w:pPr>
    </w:p>
    <w:p w:rsidR="00B82B34" w:rsidRDefault="00B82B34">
      <w:pPr>
        <w:pStyle w:val="Standard"/>
        <w:spacing w:line="276" w:lineRule="auto"/>
        <w:rPr>
          <w:rFonts w:ascii="Liberation Serif" w:eastAsia="Liberation Serif" w:hAnsi="Liberation Serif" w:cs="Liberation Serif"/>
          <w:sz w:val="26"/>
          <w:szCs w:val="26"/>
        </w:rPr>
      </w:pPr>
    </w:p>
    <w:p w:rsidR="00B82B34" w:rsidRDefault="00B82B34">
      <w:pPr>
        <w:pStyle w:val="Standard"/>
        <w:spacing w:line="276" w:lineRule="auto"/>
        <w:rPr>
          <w:rFonts w:ascii="Liberation Serif" w:eastAsia="Liberation Serif" w:hAnsi="Liberation Serif" w:cs="Liberation Serif"/>
          <w:sz w:val="26"/>
          <w:szCs w:val="26"/>
        </w:rPr>
      </w:pPr>
    </w:p>
    <w:p w:rsidR="00B82B34" w:rsidRDefault="009A7015">
      <w:pPr>
        <w:pStyle w:val="Standard"/>
        <w:spacing w:line="360" w:lineRule="auto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Глава Грязовецкого муниципального округа</w:t>
      </w:r>
      <w:r>
        <w:rPr>
          <w:rFonts w:ascii="Liberation Serif" w:eastAsia="Liberation Serif" w:hAnsi="Liberation Serif" w:cs="Liberation Serif"/>
          <w:sz w:val="26"/>
          <w:szCs w:val="26"/>
        </w:rPr>
        <w:tab/>
      </w:r>
      <w:r>
        <w:rPr>
          <w:rFonts w:ascii="Liberation Serif" w:eastAsia="Liberation Serif" w:hAnsi="Liberation Serif" w:cs="Liberation Serif"/>
          <w:sz w:val="26"/>
          <w:szCs w:val="26"/>
        </w:rPr>
        <w:tab/>
        <w:t xml:space="preserve">               </w:t>
      </w:r>
      <w:r>
        <w:rPr>
          <w:rFonts w:ascii="Liberation Serif" w:eastAsia="Liberation Serif" w:hAnsi="Liberation Serif" w:cs="Liberation Serif"/>
          <w:sz w:val="26"/>
          <w:szCs w:val="26"/>
        </w:rPr>
        <w:tab/>
      </w:r>
      <w:r>
        <w:rPr>
          <w:rFonts w:ascii="Liberation Serif" w:eastAsia="Liberation Serif" w:hAnsi="Liberation Serif" w:cs="Liberation Serif"/>
          <w:sz w:val="26"/>
          <w:szCs w:val="26"/>
        </w:rPr>
        <w:tab/>
        <w:t xml:space="preserve">   С.А. Фёкличев</w:t>
      </w:r>
    </w:p>
    <w:p w:rsidR="00B82B34" w:rsidRDefault="00B82B34">
      <w:pPr>
        <w:pStyle w:val="Standard"/>
        <w:spacing w:line="360" w:lineRule="auto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B82B34" w:rsidRDefault="009A7015">
      <w:pPr>
        <w:pageBreakBefore/>
        <w:widowControl/>
        <w:ind w:left="5954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lastRenderedPageBreak/>
        <w:t xml:space="preserve">УТВЕРЖДЕНО </w:t>
      </w:r>
    </w:p>
    <w:p w:rsidR="00B82B34" w:rsidRDefault="009A7015">
      <w:pPr>
        <w:widowControl/>
        <w:ind w:left="5954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постановлением администрации 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br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Грязовецкого муниципального округа от 01.01.2023 № 6</w:t>
      </w:r>
    </w:p>
    <w:p w:rsidR="00B82B34" w:rsidRDefault="009A7015">
      <w:pPr>
        <w:widowControl/>
        <w:ind w:left="5954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(приложение)</w:t>
      </w:r>
    </w:p>
    <w:p w:rsidR="00B82B34" w:rsidRDefault="00B82B34">
      <w:pPr>
        <w:widowControl/>
        <w:ind w:firstLine="709"/>
        <w:jc w:val="both"/>
        <w:textAlignment w:val="auto"/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</w:pPr>
    </w:p>
    <w:p w:rsidR="00B82B34" w:rsidRDefault="00B82B34">
      <w:pPr>
        <w:widowControl/>
        <w:ind w:firstLine="709"/>
        <w:jc w:val="both"/>
        <w:textAlignment w:val="auto"/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ind w:firstLine="709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ПОЛОЖЕНИЕ</w:t>
      </w:r>
    </w:p>
    <w:p w:rsidR="00B82B34" w:rsidRDefault="009A7015">
      <w:pPr>
        <w:widowControl/>
        <w:ind w:firstLine="709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 xml:space="preserve">по организации похоронного дела </w:t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br/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в границах Грязовецкого муниципального округа</w:t>
      </w:r>
    </w:p>
    <w:p w:rsidR="00B82B34" w:rsidRDefault="00B82B34">
      <w:pPr>
        <w:widowControl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numPr>
          <w:ilvl w:val="0"/>
          <w:numId w:val="1"/>
        </w:numPr>
        <w:spacing w:after="160"/>
        <w:ind w:firstLine="709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Общие положения</w:t>
      </w:r>
    </w:p>
    <w:p w:rsidR="00B82B34" w:rsidRDefault="009A7015">
      <w:pPr>
        <w:widowControl/>
        <w:tabs>
          <w:tab w:val="left" w:pos="0"/>
        </w:tabs>
        <w:spacing w:after="16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1.1 Настоящий Порядок разработан в соответствии с Федеральным законом      от 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06.10.2003 № 131-ФЗ «Об общих принципах организации местного самоуправления в Российской Федерации», Федеральным законом от 12.01.1996        № 8-ФЗ «О погребении и похоронном деле».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1.2. Настоящий Порядок определяет основы организации похоронного де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ла (ритуальных услуг) в границах Грязовецкого муниципального округа.</w:t>
      </w:r>
    </w:p>
    <w:p w:rsidR="00B82B34" w:rsidRDefault="009A7015">
      <w:pPr>
        <w:widowControl/>
        <w:tabs>
          <w:tab w:val="left" w:pos="0"/>
        </w:tabs>
        <w:spacing w:after="160"/>
        <w:ind w:firstLine="709"/>
        <w:jc w:val="center"/>
        <w:textAlignment w:val="auto"/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2. </w:t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 xml:space="preserve">Полномочия органов местного самоуправления </w:t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br/>
      </w: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и их структурных подразделений</w:t>
      </w:r>
    </w:p>
    <w:p w:rsidR="00B82B34" w:rsidRDefault="009A7015">
      <w:pPr>
        <w:widowControl/>
        <w:tabs>
          <w:tab w:val="left" w:pos="0"/>
        </w:tabs>
        <w:spacing w:after="160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2.1. Администрация Грязовецкого муниципального округа: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1) принимает решение о создании (закрытии) мест пог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ребения в границах округа;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2) в лице отраслевого (функционального) органа администрации Грязовецкого муниципального округа - Управление имущественных и земельных отношений администрации Грязовецкого муниципального округа, осуществляет предостав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ление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Волого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дской области;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3) 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создает специализированные службы по вопросам похоронного дела, на которые возлагается обязанность по осуществлению погребения умерших;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4) определяет порядок деятельности специализированных служб по вопросам похоронного дела;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5) устанавливает требования к качеству ритуальных услуг, предоставляемых специализированной службой по вопросам похоронного дела, согласно гарантированному перечню услуг по погребению;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6) определяет стоимость услуг предоставляемых согласно гаранти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рованному перечню услуг по погребению;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7)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устанавливает правила содержания мест погребения;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8) определяет порядок деятельности общес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твенных кладбищ;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9) определяет порядок деятельности воинских кладбищ и военных мемориальных кладбищ;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10)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ус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танавливает размер бесплатно предоставляемого участка земли для погребения умершего;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11) определяет порядок предоставления  участка земли для погребения умершего.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lastRenderedPageBreak/>
        <w:tab/>
        <w:t>2.2. 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Территориальные управления администрации Грязовецкого муниципального 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округа (далее — территориальные управления):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1) направляет в адрес администрации Грязовецкого муниципального округа предложения о создании, закрытии, реконструкции, переносе мест погребения, в соответствии с действующими санитарными правилами и нормами;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2) обеспечивают содержание мест погребения, расположенных на территориях, входящих в границы ответственности территориального управления;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3) обеспечивают организацию мест погребения, расположенных на территориях, входящих в границы ответственности терр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иториального управления (в том числе разрабатывают схему последовательности предоставления земельных участков для погребения умерших, определяют участки текущего захоронения,  осуществляют разбивку по зонам захоронения, определяют участки почетных, воински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х, родовых (семейных) захоронений, осуществляют регистрацию захоронений в книге учета захоронений);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4) обеспечивают в соответствии порядком, определенным администрацией Грязовецкого муниципального округа, деятельность общественных кладбищ,  воински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х кладбищ и военных мемориальных кладбищ, расположенных на территориях, входящих в границы ответственности территориального управления;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5) предоставляет участок земли для погребения умершего на кладбищах, расположенных на территориях, входящих в границы от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ветственности территориального управления, в порядке определенном администрацией Грязовецкого муниципального округа;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 xml:space="preserve">6) осуществляет контроль соблюдения границ 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бесплатно предоставляемого участка земли для погребения умершего;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7) 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оказывает содейс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твие в исполнении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лицу, взявшему на себя обязанность осуществить пог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ребение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есечение государственных границ;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8) рассматривает обращения граждан, по вопросам оказания ритуальных услуг, и направляет ответы в адрес заявителя;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9)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предоставляет в установленные сроки по запросу администрации Грязовецкого муниципального округа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информацию по вопросам похоронного дела;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10) обеспечивает перевозку до морга тела (останков) умерших (погибших), личность которых не установлена либо личность которых установлена, но отсутствует лицо, взявшее на себя обязанность по погребению, в случае есл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 перевозка тела (останков) умерших (погибших) не является полномочием иных органов в соответствии с действующим законодательством.</w:t>
      </w:r>
    </w:p>
    <w:p w:rsidR="00B82B34" w:rsidRDefault="00B82B34">
      <w:pPr>
        <w:widowControl/>
        <w:ind w:left="1440"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spacing w:after="160"/>
        <w:ind w:left="36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t>3. Правила содержания мест погребения</w:t>
      </w:r>
    </w:p>
    <w:p w:rsidR="00B82B34" w:rsidRDefault="009A7015">
      <w:pPr>
        <w:widowControl/>
        <w:spacing w:after="16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 xml:space="preserve">3.1. Правила содержания мест погребения определяются Правилами благоустройства 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Грязовецкого муниципального округа Вологодской области, утвержденными решением Земского Собрания Грязовецкого муниципального округа и настоящим Положением.</w:t>
      </w:r>
    </w:p>
    <w:p w:rsidR="00B82B34" w:rsidRDefault="00B82B34">
      <w:pPr>
        <w:widowControl/>
        <w:ind w:left="1080"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spacing w:after="160"/>
        <w:ind w:left="36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color w:val="auto"/>
          <w:kern w:val="0"/>
          <w:sz w:val="26"/>
          <w:szCs w:val="26"/>
          <w:lang w:eastAsia="en-US" w:bidi="ar-SA"/>
        </w:rPr>
        <w:lastRenderedPageBreak/>
        <w:t>4. Порядок деятельности общественных кладбищ</w:t>
      </w:r>
    </w:p>
    <w:p w:rsidR="00B82B34" w:rsidRDefault="009A7015">
      <w:pPr>
        <w:widowControl/>
        <w:tabs>
          <w:tab w:val="left" w:pos="0"/>
        </w:tabs>
        <w:spacing w:after="160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4.1. Кладбища открыты для посещения и захоронения ежед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невно с 8:00 часов до 17:00 часов.</w:t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ab/>
        <w:t>4.2. 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На общественных кладбищах погребение может осуществляться с учётом вероисповедальных, воинских и иных обычаев и традиций.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4.3. На территории общественного кладбища могут выделяться участки для почетных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захоронений, воинских захоронений, а также производятся одиночные, родственные и семейные (родовые) захоронения.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4.4. Глубина могилы должна составлять не менее 1,5 метров (от поверхности земли до крышки гроба);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4.5. Надмогильные насыпи должны и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меть высоту не более 0,3 метра от поверхности межрядового прохода (проезда).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 xml:space="preserve">4.6. Установка надмогильных сооружений (надгробий) и оград на кладбищах допускается только в границах предоставленных участков земли. Устанавливаемые надмогильные сооружения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(надгробия) и ограды не должны иметь частей, выступающих за границы мест захоронения или нависающих над соседними. Высота надмогильных сооружений не должна превышать 2 метров, оград - 1 метра.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4.7. Монтаж, демонтаж, ремонт, замена надмогильных сооружений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(надгробий) и оград осуществляются близкими родственниками, либо лицом, взявшим на себя обязанность осуществить погребение.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 xml:space="preserve">4.8. Надписи на надмогильных сооружениях (надгробиях) должны соответствовать сведениям о действительно захороненных в данном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месте умерших.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4.9. Надмогильные сооружения устанавливаются с соблюдением соответствующих требований строительных норм и правил.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4.10. Установленные гражданами (организациями) надмогильные сооружения (памятники, цветники и др.) являются их собственностью.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 xml:space="preserve">4.11. Лица, ответственные за захоронение, обязаны поддерживать чистоту и порядок на месте захоронения, содержать оформленный надмогильный холм (насыпь), надмогильные сооружения и зеленые насаждения (в том числе осуществлять вырубку деревьев, растущих в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границах участка захоронения), проводить ремонт надмогильных сооружений.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 xml:space="preserve">4.12. При отсутствии сведений о захоронении, а также отсутствии ухода за захоронениями, по истечении 20 лет с момента захоронения могилы признаются бесхозяйными в соответствии с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действующим законодательством.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4.13. В случае обнаружения специалистами территориального управления  незарегистрированного захоронения, информация немедленно направляется в органы внутренних дел для осуществления мероприятий по установлению сведений об у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мершем (погибшем), розыску нарушителей в соответствии с действующим законодательством.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4.14. На территории кладбища посетители должны соблюдать общественный порядок и тишину.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4.15. Посетители кладбища имеют право: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1)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устанавливать памят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ники, в соответствии с требованиями настоящего порядка;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2) сажать цветы на могильном участке;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3) другие права, предусмотренные действующим законодательством.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4.16. На территории кладбища посетителям запрещается: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1) портить памятники, о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борудование кладбища, засорять территорию;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2) повреждать зеленые насаждения, осуществлять посадку деревьев.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lastRenderedPageBreak/>
        <w:tab/>
        <w:t>4.17. За нарушение настоящего порядка, виновные лица несут ответственность, в соответствии с действующим законодательством.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4.18. Проезд на тер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риторию кладбища автотранспорта производится по согласованию с соответствующим территориальным управлением, в границах ответственности которого находится кладбище.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4.19. Настоящий порядок размещается на территории кладбищ, официальном сайте администрац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ии Грязовецкого муниципального округа в сети интернет.</w:t>
      </w:r>
    </w:p>
    <w:p w:rsidR="00B82B34" w:rsidRDefault="00B82B34">
      <w:pPr>
        <w:widowControl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spacing w:after="160" w:line="251" w:lineRule="auto"/>
        <w:ind w:left="36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kern w:val="0"/>
          <w:sz w:val="26"/>
          <w:szCs w:val="26"/>
          <w:lang w:eastAsia="en-US" w:bidi="ar-SA"/>
        </w:rPr>
        <w:t xml:space="preserve">5. Размер бесплатно предоставляемого участка земли </w:t>
      </w:r>
      <w:r>
        <w:rPr>
          <w:rFonts w:ascii="Liberation Serif" w:eastAsia="Calibri" w:hAnsi="Liberation Serif" w:cs="Liberation Serif"/>
          <w:b/>
          <w:bCs/>
          <w:kern w:val="0"/>
          <w:sz w:val="26"/>
          <w:szCs w:val="26"/>
          <w:lang w:eastAsia="en-US" w:bidi="ar-SA"/>
        </w:rPr>
        <w:br/>
      </w:r>
      <w:r>
        <w:rPr>
          <w:rFonts w:ascii="Liberation Serif" w:eastAsia="Calibri" w:hAnsi="Liberation Serif" w:cs="Liberation Serif"/>
          <w:b/>
          <w:bCs/>
          <w:kern w:val="0"/>
          <w:sz w:val="26"/>
          <w:szCs w:val="26"/>
          <w:lang w:eastAsia="en-US" w:bidi="ar-SA"/>
        </w:rPr>
        <w:t>для погребения умершего</w:t>
      </w:r>
    </w:p>
    <w:p w:rsidR="00B82B34" w:rsidRDefault="009A7015">
      <w:pPr>
        <w:widowControl/>
        <w:tabs>
          <w:tab w:val="left" w:pos="0"/>
        </w:tabs>
        <w:spacing w:after="160" w:line="251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5.1. Участки земли для погребения умерших подразделяются на следующие виды: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1)одиночные;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2) родственные;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3) семейные (родовые);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4) почетные;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5) воинские.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5.2. Одиночные захоронения — отведенные в соответствии с этическими, санитарными и экологическими требованиями и правилами отдельные участки земли на общественных кладбищах д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ля захоронения тел (останков) одиноких граждан, граждан, при захоронении которых супруг, близкие родственники (дети, родители, усыновленные, усыновители, родные братья и родные сестры, внуки, дедушки, бабушки), иные родственники, законные представители уме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ршего (погибшего) или иные лица, взявшие на себя обязанность осуществить погребение умершего (погибшего), не заявили о создании родственного или семейного захоронения, а также граждан, личность которых не установлена органами внутренних дел, или не имеющих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супруга, близких родственников, или иных родственников, либо законного представителя или при невозможности ими осуществить погребение. Размер предоставляемого участка земли для захоронения в указанном случае составляет не более 3,75 кв.м. (1,5 м.*2,5 м.).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color w:val="auto"/>
          <w:kern w:val="0"/>
          <w:sz w:val="26"/>
          <w:szCs w:val="26"/>
          <w:lang w:eastAsia="en-US" w:bidi="ar-SA"/>
        </w:rPr>
        <w:t>5.3. 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Родственные захоронения – отведенные в соответствии с этическими, санитарными и экологическими требованиями и правилами отдельные участки земли на общественных кладбищах для захоронения тел (останков) умершего таким образом, чтобы гарантировать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погребение на этом же участке земли умершего супруга или близкого родственника. Размер предоставляемого участка земли для родственного захоронения составляет не более 7,5 кв.м. (3 м.*2,5 м.).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5.4. Семейные (родовые) захоронения — отведенные в соответств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ии с этическими, санитарными и экологическими требованиями и правилами отдельные участки земли на общественных кладбищах для захоронения тел (останков) умерших супругов, близких родственников. Размер предоставляемого участка земли для родственного захороне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ния составляет не более 13 кв.м. За резервирование места семейного (родового) захоронения превышающего размер бесплатно предоставляемого участка земля для семейного (родового) захоронения взимается плата в размере 4000,00 рублей за 1 квадратный метр.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5.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5. Почетные захоронения -  отведенные в соответствии с этическими, санитарными и экологическими требованиями и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lastRenderedPageBreak/>
        <w:t>правилами отдельные участки земли на общественных кладбищах для захоронения тел (останков) умерших, имеющие особые заслуги перед обществом и госу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дарством. Размер предоставляемого участка земли для почетного захоронения составляет не более 7,5 кв.м. (3 м.*2,5 м.).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5.6. Воинские захоронения -  отведенные в соответствии с этическими, санитарными и экологическими требованиями и правилами отдельные уч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астки земли на общественных кладбищах для захоронения тел (останков) умерших с учетом воинских обычаев и традиций. Размер предоставляемого участка земли для воинского захоронения составляет не более 5,0 кв.м. (2 м.*2,5 м.). На местах воинских захоронений п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одзахоронение не допускается.</w:t>
      </w:r>
    </w:p>
    <w:p w:rsidR="00B82B34" w:rsidRDefault="00B82B34">
      <w:pPr>
        <w:widowControl/>
        <w:ind w:firstLine="709"/>
        <w:jc w:val="both"/>
        <w:textAlignment w:val="auto"/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</w:pPr>
    </w:p>
    <w:p w:rsidR="00B82B34" w:rsidRDefault="009A7015">
      <w:pPr>
        <w:widowControl/>
        <w:spacing w:after="160" w:line="251" w:lineRule="auto"/>
        <w:ind w:left="360"/>
        <w:jc w:val="center"/>
        <w:textAlignment w:val="auto"/>
      </w:pPr>
      <w:r>
        <w:rPr>
          <w:rFonts w:ascii="Liberation Serif" w:eastAsia="Calibri" w:hAnsi="Liberation Serif" w:cs="Liberation Serif"/>
          <w:b/>
          <w:bCs/>
          <w:kern w:val="0"/>
          <w:sz w:val="26"/>
          <w:szCs w:val="26"/>
          <w:lang w:eastAsia="en-US" w:bidi="ar-SA"/>
        </w:rPr>
        <w:t>6. Порядок предоставления участка земли для погребения умершего</w:t>
      </w:r>
    </w:p>
    <w:p w:rsidR="00B82B34" w:rsidRDefault="009A7015">
      <w:pPr>
        <w:widowControl/>
        <w:tabs>
          <w:tab w:val="left" w:pos="0"/>
        </w:tabs>
        <w:spacing w:after="160" w:line="251" w:lineRule="auto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6.1. 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земли для погребения тела (останков) или праха.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6.2. 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территориаль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ным управлением 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6.3. Новые захоронения производятся в последовательном порядке по действующей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 схеме предоставления земельных участков для погребения умерших.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6.4. Для предоставление участка земли для погребения умершего супруг, близкий родственник, иной родственник, законный представитель умершего или иное лицо, взявшее на себя обязанность осущес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твить погребение умершего, обращается с заявлением в территориальное управление, в границы ответственности которого входит территория на которой расположено кладбище, с указанием вида участка земли, с учетом волеизъявления умершего (погибшего) либо пожелан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ия супруга, близких родственников или иных родственников.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6.5. К заявлению необходимо приложить копию свидетельства о смерти или справки о смерти с предъявлением подлинника (для обозрения) либо заверенными нотариально.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6.6. В случае указания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вида участка земли — для почетного захоронения дополнительно предоставляется ходатайство заинтересованных лиц, подтверждающее заслуги умершего перед государством и обществом и при отсутствии противоречий с волеизъявлением умершего. Решение о предоставлени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 участка земли для почетного захоронения принимает территориальное управление по итогам рассмотрения представленного ходатайства. При погребении на местах почетных захоронений территориальное управление выдает ответственному за захоронение удостоверение о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почетном захоронении.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 xml:space="preserve">6.7. В случае указания вида участка земли — для семейного (родового захоронения) отношения между территориальным управлением и гражданином, подавшим заявление регулируются 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lastRenderedPageBreak/>
        <w:t>законом Вологодской области от 30.06.2020         № 4750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-ОЗ «О семейных (родовых) захоронениях на территории Вологодской области». При создании семейного (родового) захоронения территориальное управление выдает удостоверение семейного захоронения, выдаваемое лицу, на имя которого зарегистрировано семейное захор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онение.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6.8. Заявление на предоставление участка земли для погребения умершего рассматривается территориальным управлением в течение одного дня, если иной срок не установлен законодательными актами Российской Федерации и Вологодской области. Возможнос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ть исполнения волеизъявления умершего (погибшего) либо пожелания супруга, близких родственников или иных родственников определяется с выходом на место. Учитываются наличие имеющихся захоронений, размер ограды, расстояние до соседних захоронений, давность з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ахоронений и состояние надмогильных сооружений, наличие древесно-кустарниковой растительности и иные условия.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6.9. При отсутствия возможности исполнения волеизъявления умершего (погибшего) либо пожелания супруга, близких родственников или иных р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одственников, предоставляется участок земли, размер которого позволяет гарантировать погребение на этом же участке земли умершего супруга или близкого родственника.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6.10. Территориальное управление при предоставлении участка земли для погребения о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бязано ознакомить лицо, ответственное за погребение с порядком деятельности общественных кладбищ и их содержания, в соответствии с настоящим положением.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6.11. Отказ в удовлетворении заявления допускается только в случае отсутствия свидетельства о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 xml:space="preserve"> смерти или справки о смерти.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6.12. Каждое захоронение регистрируется в книге учета захоронений с указанием номеров участков и могилы, а также данных о лице, ответственном за захоронение.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6.13. Погребение умершего в существующую могилу разрешает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ся после истечения полного периода минерализации, но не ранее чем через 20 лет с момента предыдущего погребения.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6.14. Производить погребения на закрытых кладбищах запрещается, за исключением случаев последующего погребения умерших на местах родстве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нных и семейных (родовых) захоронений.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6.15. Книга учета захоронений является документом строгой отчетности, ведется в электронном виде и на бумажном носителе. Экземпляр книги учета захоронений на бумажном носителе хранится в территориальном управлен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>ии бессрочно.</w:t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</w:r>
      <w:r>
        <w:rPr>
          <w:rFonts w:ascii="Liberation Serif" w:eastAsia="Calibri" w:hAnsi="Liberation Serif" w:cs="Liberation Serif"/>
          <w:kern w:val="0"/>
          <w:sz w:val="26"/>
          <w:szCs w:val="26"/>
          <w:lang w:eastAsia="en-US" w:bidi="ar-SA"/>
        </w:rPr>
        <w:tab/>
        <w:t>6.16. Погребение умерших (погибших), личность которых не установлена либо личность которых установлена, но отсутствует лицо, взявшее на себя обязанность по погребению, обеспечивается территориальным управлением.</w:t>
      </w:r>
    </w:p>
    <w:p w:rsidR="00B82B34" w:rsidRDefault="009A7015">
      <w:pPr>
        <w:pStyle w:val="Standard"/>
        <w:spacing w:line="360" w:lineRule="auto"/>
        <w:jc w:val="both"/>
      </w:pPr>
      <w:r>
        <w:rPr>
          <w:rFonts w:ascii="Liberation Serif" w:eastAsia="Liberation Serif" w:hAnsi="Liberation Serif" w:cs="Liberation Serif"/>
          <w:sz w:val="26"/>
        </w:rPr>
        <w:tab/>
      </w:r>
    </w:p>
    <w:sectPr w:rsidR="00B82B3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7015">
      <w:r>
        <w:separator/>
      </w:r>
    </w:p>
  </w:endnote>
  <w:endnote w:type="continuationSeparator" w:id="0">
    <w:p w:rsidR="00000000" w:rsidRDefault="009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7015">
      <w:r>
        <w:separator/>
      </w:r>
    </w:p>
  </w:footnote>
  <w:footnote w:type="continuationSeparator" w:id="0">
    <w:p w:rsidR="00000000" w:rsidRDefault="009A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BAA"/>
    <w:multiLevelType w:val="multilevel"/>
    <w:tmpl w:val="745E994A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2487" w:hanging="360"/>
      </w:pPr>
    </w:lvl>
    <w:lvl w:ilvl="2">
      <w:start w:val="1"/>
      <w:numFmt w:val="decimal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2B34"/>
    <w:rsid w:val="009A7015"/>
    <w:rsid w:val="00B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ACDAEB-1402-435C-9745-84BA0A2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3">
    <w:name w:val="WW8Num1z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Тищенко</dc:creator>
  <cp:lastModifiedBy>А.М. Веретьева</cp:lastModifiedBy>
  <cp:revision>2</cp:revision>
  <cp:lastPrinted>2023-01-16T11:15:00Z</cp:lastPrinted>
  <dcterms:created xsi:type="dcterms:W3CDTF">2023-02-03T13:49:00Z</dcterms:created>
  <dcterms:modified xsi:type="dcterms:W3CDTF">2023-02-03T13:49:00Z</dcterms:modified>
</cp:coreProperties>
</file>