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center"/>
        <w:rPr/>
      </w:pPr>
      <w:r>
        <w:rPr/>
        <w:drawing>
          <wp:inline distT="0" distB="0" distL="0" distR="0">
            <wp:extent cx="471805" cy="518160"/>
            <wp:effectExtent l="0" t="0" r="0" b="0"/>
            <wp:docPr id="1" name="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auto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auto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Liberation Serif" w:cs="Liberation Serif"/>
                <w:b w:val="false"/>
                <w:color w:val="auto"/>
                <w:sz w:val="26"/>
                <w:shd w:fill="auto" w:val="clear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000000"/>
                <w:sz w:val="26"/>
                <w:shd w:fill="auto" w:val="clear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b w:val="false"/>
                <w:color w:val="000000"/>
                <w:sz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start"/>
              <w:rPr>
                <w:rFonts w:ascii="Liberation Serif" w:hAnsi="Liberation Serif" w:eastAsia="Liberation Serif" w:cs="Liberation Serif"/>
                <w:b w:val="false"/>
                <w:color w:val="auto"/>
                <w:sz w:val="26"/>
                <w:shd w:fill="auto" w:val="clear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000000"/>
                <w:sz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Liberation Serif" w:cs="Liberation Serif"/>
                <w:b w:val="false"/>
                <w:color w:val="auto"/>
                <w:sz w:val="26"/>
                <w:shd w:fill="auto" w:val="clear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000000"/>
                <w:sz w:val="26"/>
                <w:shd w:fill="auto" w:val="clear"/>
              </w:rPr>
              <w:t>49</w:t>
            </w:r>
          </w:p>
        </w:tc>
      </w:tr>
    </w:tbl>
    <w:p>
      <w:pPr>
        <w:pStyle w:val="Normal"/>
        <w:bidi w:val="0"/>
        <w:spacing w:lineRule="auto" w:line="276"/>
        <w:ind w:start="0" w:end="5811" w:hanging="0"/>
        <w:jc w:val="both"/>
        <w:rPr>
          <w:rFonts w:ascii="Liberation Serif" w:hAnsi="Liberation Serif" w:eastAsia="Liberation Serif" w:cs="Liberation Serif"/>
          <w:b w:val="false"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        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76"/>
        <w:jc w:val="start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0"/>
          <w:shd w:fill="auto" w:val="clear"/>
        </w:rPr>
        <w:t xml:space="preserve"> 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/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О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переименовании Бюджетного учреждения Грязовецкого муниципального района Вологодской области «Центр обеспечения деятельности образовательных учреждений» и утверждении Устава учреждения</w:t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В соответствии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с Федеральным законом от 12.01.1996 № 7-ФЗ  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         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1. Переименовать Бюджетное учреждение Грязовецкого муниципального района Вологодской области «Центр обеспечения деятельности образовательных учреждений» (ОГРН 1093529001202, ИНН 3509009844) в Бюджетное учреждение Грязовецкого муниципального округа Вологодской области «Центр обеспечения деятельности образовательных учреждений».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Официальное сокращенное наименование учреждения: БУ «Центр обеспечения деятельности образовательных учреждений».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3.1. утвердить изменения в Устав учреждения, указанного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3.3. заключить дополнительное соглашение к трудовому договору   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5. Контроль за исполнением настоящего постановления возложить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Глава Грязовецкого муниципального округа</w:t>
        <w:tab/>
        <w:t xml:space="preserve">                 </w:t>
        <w:tab/>
        <w:t xml:space="preserve">                  С.А. Фёкличев 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LibreOffice/7.0.1.2$Windows_x86 LibreOffice_project/7cbcfc562f6eb6708b5ff7d7397325de9e764452</Application>
  <Pages>2</Pages>
  <Words>357</Words>
  <Characters>2798</Characters>
  <CharactersWithSpaces>3442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2023-01-16T10:41:11Z</cp:lastPrinted>
  <dcterms:modified xsi:type="dcterms:W3CDTF">2023-01-16T10:42:20Z</dcterms:modified>
  <cp:revision>2</cp:revision>
  <dc:subject/>
  <dc:title/>
</cp:coreProperties>
</file>