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55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/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учреждения Грязовецкого муниципального района</w:t>
      </w:r>
      <w:r>
        <w:rPr>
          <w:rFonts w:eastAsia="Times New Roman" w:cs="Times New Roman" w:ascii="Times New Roman" w:hAnsi="Times New Roman"/>
          <w:b w:val="false"/>
          <w:color w:val="000000"/>
          <w:sz w:val="20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«Слободская школа им. Г.Н. Пономарёва»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«Слободская школа им. Г.Н.Пономарёва» (ОГРН 1023501453095, ИНН 3509004846)                                    в  Муниципальное бюджетное общеобразовательное учреждение Грязовецкого муниципального округа Вологодской  области «Слободская школа                                        им. Г.Н. Пономарёва».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МБОУ «Слободская школа им. Г.Н.Пономарёва». </w:t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в информационно-телекоммуникационной сети «Интернет».                   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LibreOffice/7.0.1.2$Windows_x86 LibreOffice_project/7cbcfc562f6eb6708b5ff7d7397325de9e764452</Application>
  <Pages>2</Pages>
  <Words>361</Words>
  <Characters>2814</Characters>
  <CharactersWithSpaces>3526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2023-01-16T11:03:00Z</cp:lastPrinted>
  <dcterms:modified xsi:type="dcterms:W3CDTF">2023-01-16T11:03:32Z</dcterms:modified>
  <cp:revision>2</cp:revision>
  <dc:subject/>
  <dc:title/>
</cp:coreProperties>
</file>