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Liberation Serif" w:hAnsi="Liberation Serif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start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start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58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center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переименовании Муниципального бюджетного дошкольного образовательного учреждения Грязовецкого муниципального района Вологодской области «Центр развития ребёнка - детский сад № 2»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Муниципальное бюджетное дошкольное образовательное учреждение Грязовецкого муниципального района Вологодской области «Центр развития ребёнка - детский сад № 2» (ОГРН 1023501453205, ИНН 3509004370)                     в Муниципальное бюджетное дошкольное образовательное учреждение Грязовецкого муниципального округа Вологодской области «Центр развития ребёнка - детский сад № 2».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МБДОУ                            «Центр развития ребёнка - детский сад № 2».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                      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                          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                                               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ab/>
        <w:tab/>
        <w:t>С.А. Фёкличев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LibreOffice/7.0.1.2$Windows_x86 LibreOffice_project/7cbcfc562f6eb6708b5ff7d7397325de9e764452</Application>
  <Pages>2</Pages>
  <Words>378</Words>
  <Characters>2838</Characters>
  <CharactersWithSpaces>3595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2023-01-16T11:10:00Z</cp:lastPrinted>
  <dcterms:modified xsi:type="dcterms:W3CDTF">2023-01-16T11:10:47Z</dcterms:modified>
  <cp:revision>2</cp:revision>
  <dc:subject/>
  <dc:title/>
</cp:coreProperties>
</file>