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80" w:rsidRDefault="00B64952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380" w:rsidRDefault="009A5380">
      <w:pPr>
        <w:pStyle w:val="12"/>
        <w:textAlignment w:val="auto"/>
        <w:rPr>
          <w:rFonts w:ascii="Liberation Serif" w:hAnsi="Liberation Serif"/>
          <w:szCs w:val="24"/>
        </w:rPr>
      </w:pPr>
    </w:p>
    <w:p w:rsidR="009A5380" w:rsidRDefault="009A538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A5380" w:rsidRDefault="00B64952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A5380" w:rsidRDefault="009A538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A5380" w:rsidRDefault="00B64952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A5380" w:rsidRDefault="009A5380">
      <w:pPr>
        <w:rPr>
          <w:rFonts w:ascii="Liberation Serif" w:hAnsi="Liberation Serif"/>
        </w:rPr>
      </w:pPr>
    </w:p>
    <w:p w:rsidR="009A5380" w:rsidRDefault="009A5380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9A5380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9A5380" w:rsidRDefault="00B6495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08.06.2023</w:t>
            </w:r>
          </w:p>
        </w:tc>
        <w:tc>
          <w:tcPr>
            <w:tcW w:w="458" w:type="dxa"/>
            <w:shd w:val="clear" w:color="auto" w:fill="auto"/>
          </w:tcPr>
          <w:p w:rsidR="009A5380" w:rsidRDefault="00B6495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9A5380" w:rsidRDefault="00B6495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1268</w:t>
            </w:r>
          </w:p>
        </w:tc>
      </w:tr>
    </w:tbl>
    <w:p w:rsidR="009A5380" w:rsidRDefault="009A5380">
      <w:pPr>
        <w:rPr>
          <w:rFonts w:ascii="Liberation Serif" w:hAnsi="Liberation Serif"/>
        </w:rPr>
      </w:pPr>
    </w:p>
    <w:p w:rsidR="009A5380" w:rsidRDefault="00B64952">
      <w:pPr>
        <w:pStyle w:val="ad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A5380" w:rsidRDefault="009A5380">
      <w:pPr>
        <w:pStyle w:val="ad"/>
        <w:rPr>
          <w:rFonts w:ascii="Liberation Serif" w:hAnsi="Liberation Serif"/>
          <w:sz w:val="24"/>
          <w:szCs w:val="24"/>
        </w:rPr>
      </w:pPr>
    </w:p>
    <w:p w:rsidR="009A5380" w:rsidRDefault="009A5380">
      <w:pPr>
        <w:pStyle w:val="ad"/>
        <w:jc w:val="both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B64952">
      <w:pPr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eastAsia="zh-CN"/>
        </w:rPr>
        <w:t>Об установлении публичного сервитута</w:t>
      </w:r>
    </w:p>
    <w:p w:rsidR="009A5380" w:rsidRDefault="009A5380">
      <w:pPr>
        <w:jc w:val="both"/>
        <w:textAlignment w:val="baseline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eastAsia="zh-CN"/>
        </w:rPr>
      </w:pPr>
    </w:p>
    <w:p w:rsidR="009A5380" w:rsidRDefault="009A5380">
      <w:pPr>
        <w:jc w:val="both"/>
        <w:textAlignment w:val="baseline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eastAsia="zh-CN"/>
        </w:rPr>
      </w:pPr>
    </w:p>
    <w:p w:rsidR="009A5380" w:rsidRDefault="009A5380">
      <w:pPr>
        <w:jc w:val="both"/>
        <w:textAlignment w:val="baseline"/>
        <w:rPr>
          <w:rFonts w:ascii="Liberation Serif" w:eastAsia="SimSun" w:hAnsi="Liberation Serif" w:cs="Liberation Serif" w:hint="eastAsia"/>
          <w:color w:val="000000"/>
          <w:sz w:val="26"/>
          <w:szCs w:val="26"/>
          <w:lang w:eastAsia="zh-CN" w:bidi="hi-IN"/>
        </w:rPr>
      </w:pPr>
    </w:p>
    <w:p w:rsidR="009A5380" w:rsidRDefault="00B64952">
      <w:pPr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В соответствии со статьями 3.3 Федерального закона от 25.10.2001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                   № 137-ФЗ «О введении в действие Земельного кодекса Российской Федерации», статьями 39.37, 39.38, 39.39, 39.41, 39.42, 39.43, 39.45 Земельного кодекса Российской Федерации от 25.10.2001 № 136-ФЗ, Федеральным законом Российской Федерации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               от 13.07.2015 № 218-ФЗ «О государственной регистрации недвижимости», приказом Росреестра от 13.01.2021 № П/0004 «Об установлении требований к графическому описанию местоположения границ публичного сервитута, точности определения координат х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арактерных точек границ публичного сервитута, формату электронного документа, содержащего указанные сведения», приказом Министерства энергетики Российской федерации от 23.01.2023 № 13тд «Об утверждении документации по планировке территории для размещения о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бъекта трубопроводного транспорта федерального значения «Магистральный нефтепровод «Ухта-Ярославль». Защитное сооружение на 931-932 км. Подъездная дорога. Реконструкция», постановлением администрации Грязовецкого муниципального округа от 19.01.2023 № 85  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                     «О наделении правом подписи отдельных документов администрации Грязовецкого муниципального округа в сфере имущественных и земельных правоотношений»,                  на основании ходатайства акционерного общества «Транснефть-Север»  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                           (АО «Транснефть-Север», ИНН 1102016594, ОГРН 1021100730353) в лице генерального директора Вдовина Дениса Николаевича, действующего на основании Устава</w:t>
      </w:r>
    </w:p>
    <w:p w:rsidR="009A5380" w:rsidRDefault="00B64952">
      <w:pPr>
        <w:jc w:val="both"/>
        <w:textAlignment w:val="baseline"/>
        <w:rPr>
          <w:rFonts w:ascii="Liberation Serif" w:eastAsia="SimSun" w:hAnsi="Liberation Serif" w:cs="Liberation Serif" w:hint="eastAsia"/>
          <w:b/>
          <w:bCs/>
          <w:color w:val="000000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zh-CN"/>
        </w:rPr>
        <w:t>Администрация Грязовецкого муниципального округа ПОСТАНОВЛЯЕТ:</w:t>
      </w:r>
    </w:p>
    <w:p w:rsidR="009A5380" w:rsidRDefault="00B64952">
      <w:pPr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1. Установить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публичный сервитут в целях складирования строительных и иных материалов, размещение временных или вспомогательных сооружений (включая ограждения, бытовки, навесы) и (или) строительной техники, которые необходимы для обеспечения строительства, реконструкции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, ремонта объектов транспортной инфраструктуры федерального значения «Магистральный нефтепровод «Ухта-Ярославль». Защитное сооружение на 931-932 км. Подъездная дорога. Реконструкция», в отношении следующих земельных участков:</w:t>
      </w:r>
    </w:p>
    <w:p w:rsidR="009A5380" w:rsidRDefault="009A5380">
      <w:pPr>
        <w:numPr>
          <w:ilvl w:val="0"/>
          <w:numId w:val="3"/>
        </w:numPr>
        <w:jc w:val="both"/>
        <w:textAlignment w:val="baseline"/>
        <w:rPr>
          <w:rFonts w:ascii="Liberation Serif" w:hAnsi="Liberation Serif" w:cs="Liberation Serif"/>
          <w:sz w:val="26"/>
          <w:szCs w:val="26"/>
          <w:lang w:bidi="hi-IN"/>
        </w:rPr>
      </w:pPr>
    </w:p>
    <w:tbl>
      <w:tblPr>
        <w:tblW w:w="9649" w:type="dxa"/>
        <w:tblInd w:w="-1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-10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6731"/>
        <w:gridCol w:w="2328"/>
      </w:tblGrid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both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bidi="hi-IN"/>
              </w:rPr>
              <w:lastRenderedPageBreak/>
              <w:t>№ п/п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both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bidi="hi-IN"/>
              </w:rPr>
              <w:t>Адрес или иное описание</w:t>
            </w:r>
            <w:r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bidi="hi-IN"/>
              </w:rPr>
              <w:t xml:space="preserve">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both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bidi="hi-IN"/>
              </w:rPr>
              <w:t>Кадастровый номер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1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область, Грязовецкий район, магистральный нефтепровод «Ухта -Ярославль»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35:28:0000000:212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2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область, Грязовец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кий р-н, кв 19,23,24,25,32,33,55,56,72,73,103,104,132,133,152,153,175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35:28:0000000:285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обл, р-н Грязовецкий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35:28:0000000:224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4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область, Грязовецкий район, магистральный нефтепровод «Ухта -Ярославль»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35:28:0000000:211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5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область, Грязовецкий р-н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35:28:0000000:407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6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область, Грязовецкий район, магистральный нефтепровод «Ухта -Ярославль»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35:28:0000000:209</w:t>
            </w:r>
          </w:p>
        </w:tc>
      </w:tr>
      <w:tr w:rsidR="009A5380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7</w:t>
            </w:r>
          </w:p>
        </w:tc>
        <w:tc>
          <w:tcPr>
            <w:tcW w:w="6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Вологодская область, Грязовецкий район, магистральный нефтепровод «Ухта -Ярославль»</w:t>
            </w:r>
          </w:p>
        </w:tc>
        <w:tc>
          <w:tcPr>
            <w:tcW w:w="23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A5380" w:rsidRDefault="00B64952">
            <w:pPr>
              <w:jc w:val="center"/>
              <w:textAlignment w:val="baseline"/>
              <w:rPr>
                <w:rFonts w:ascii="Liberation Serif" w:eastAsia="SimSun" w:hAnsi="Liberation Serif" w:cs="Liberation Serif" w:hint="eastAsia"/>
                <w:sz w:val="22"/>
                <w:szCs w:val="22"/>
                <w:lang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  <w:lang w:bidi="hi-IN"/>
              </w:rPr>
              <w:t>35:28:0000000:210</w:t>
            </w:r>
          </w:p>
        </w:tc>
      </w:tr>
    </w:tbl>
    <w:p w:rsidR="009A5380" w:rsidRDefault="00B64952">
      <w:pPr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согласно Приложению 1.</w:t>
      </w:r>
    </w:p>
    <w:p w:rsidR="009A5380" w:rsidRDefault="00B64952">
      <w:pPr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2. Установить срок публичного сервитута, указанного в пункте 1 данного распоряжения на 1 (один) год 5 (пять) месяцев.</w:t>
      </w:r>
    </w:p>
    <w:p w:rsidR="009A5380" w:rsidRDefault="00B64952">
      <w:pPr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3. Срок, в течение которого использование частей земельных участков                            в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соответствии с их разрешенным использование будет невозможно, либо существенно затруднено в связи с осуществлением сервитута:</w:t>
      </w:r>
    </w:p>
    <w:p w:rsidR="009A5380" w:rsidRDefault="00B64952">
      <w:pPr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- 12 (двенадцать) месяцев по земельным участкам, предоставленным или принадлежащим гражданам или юридическим лицам.</w:t>
      </w:r>
    </w:p>
    <w:p w:rsidR="009A5380" w:rsidRDefault="00B64952">
      <w:pPr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- 17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(семнадцать) месяцев по земельным участкам государственной или муниципальной собственности, не предоставленным гражданам, юридическимлицам в соответствии с графиком проведения работ</w:t>
      </w:r>
    </w:p>
    <w:p w:rsidR="009A5380" w:rsidRDefault="00B64952">
      <w:pPr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4. Порядок установления зон с особыми условиями использования территорий и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содержание ограничений прав на части земельных участков в границах таких зон определяются в соответствии с Правилами охраны магистральных трубопроводов утвержденными Минтопэнерго РФ 29.04.1992, Постановлением Госгортехнадзора РФ от 22.04.1992 № 9.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5. Поря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                               не предоставленных гражд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анам или юридическим лицам: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-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за весь срок сервитута.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- 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ута единовременным платежом не позднее шести месяцев со дня принятия решения об установлении публичного сервитута.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6. Информация о графике проведения работ при осуществлении деятельности, для обеспечения которой устанавливается публичный сервитут, в случае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установления публичного сервитута в отношении земель или земельных участков,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lastRenderedPageBreak/>
        <w:t>находящихся в государственной или муниципальной собственности и не предоставленных гражданам или юридическим лицам, указана в приложении 2.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7. </w:t>
      </w:r>
      <w:r>
        <w:rPr>
          <w:rFonts w:ascii="Liberation Serif" w:hAnsi="Liberation Serif" w:cs="Liberation Serif"/>
          <w:sz w:val="26"/>
          <w:szCs w:val="26"/>
          <w:lang w:eastAsia="zh-CN"/>
        </w:rPr>
        <w:t>АО «Транснефть-Север»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привести земл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и в состояние пригодное для их использования в соответствии с разрешенным использованием земельных участков,                  в срок не позднее чем три месяца после завершения эксплуатации инженерного сооружения, для размещения которого установлен публичны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й сервитут.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8. </w:t>
      </w:r>
      <w:r>
        <w:rPr>
          <w:rFonts w:ascii="Liberation Serif" w:hAnsi="Liberation Serif" w:cs="Liberation Serif"/>
          <w:sz w:val="26"/>
          <w:szCs w:val="26"/>
          <w:lang w:eastAsia="zh-CN"/>
        </w:rPr>
        <w:t>АО «Транснефть-Север»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 вправе: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hAnsi="Liberation Serif" w:cs="Liberation Serif"/>
          <w:bCs/>
          <w:sz w:val="26"/>
          <w:szCs w:val="26"/>
          <w:highlight w:val="white"/>
          <w:lang w:eastAsia="zh-C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 xml:space="preserve">- в установленных границах публичного сервитута осуществлять,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br/>
        <w:t>в соответствии с требованиями законодательства Российской Федерации, деятельность, для обеспечения которой установлен публичный сервитут;</w:t>
      </w:r>
    </w:p>
    <w:p w:rsidR="009A5380" w:rsidRDefault="00B64952">
      <w:pPr>
        <w:numPr>
          <w:ilvl w:val="0"/>
          <w:numId w:val="3"/>
        </w:numPr>
        <w:tabs>
          <w:tab w:val="left" w:pos="709"/>
        </w:tabs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- до оконч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ания срока публичного сервитута обратиться с ходатайством                      об установлении публичного сервитута на новый срок.</w:t>
      </w:r>
    </w:p>
    <w:p w:rsidR="009A5380" w:rsidRDefault="00B64952">
      <w:pPr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9. Управлению имущественных и земельных отношений администрации Грязовецкого муниципального округа в течение пяти рабочих дне</w:t>
      </w: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й со дня принятия данного постановления:</w:t>
      </w:r>
    </w:p>
    <w:p w:rsidR="009A5380" w:rsidRDefault="00B64952">
      <w:pPr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- разместить решение об установлении публичного сервитута на официальном сайте Грязовецкого муниципального округа Вологодской области;</w:t>
      </w:r>
    </w:p>
    <w:p w:rsidR="009A5380" w:rsidRDefault="00B64952">
      <w:pPr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- направить копию решения об установлении публичного сервитута                  </w:t>
      </w: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                в Управление федеральной службы государственной регистрации, кадастра и картографии по Вологодской области;</w:t>
      </w:r>
    </w:p>
    <w:p w:rsidR="009A5380" w:rsidRDefault="00B64952">
      <w:pPr>
        <w:ind w:firstLine="709"/>
        <w:jc w:val="both"/>
        <w:textAlignment w:val="baseline"/>
        <w:rPr>
          <w:rFonts w:ascii="Liberation Serif" w:eastAsia="SimSun" w:hAnsi="Liberation Serif" w:cs="Liberation Serif" w:hint="eastAsia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- направить обладателю публичного сервитута -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eastAsia="zh-CN"/>
        </w:rPr>
        <w:t>АО «Транснефть-Север»</w:t>
      </w: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 копию данного постановления и сведения о лицах, являющихся право</w:t>
      </w:r>
      <w:r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обладателями земельных участков.</w:t>
      </w:r>
    </w:p>
    <w:p w:rsidR="009A5380" w:rsidRDefault="00B64952">
      <w:pPr>
        <w:ind w:left="709"/>
        <w:jc w:val="both"/>
        <w:textAlignment w:val="baseline"/>
        <w:rPr>
          <w:rFonts w:ascii="Liberation Serif" w:eastAsia="SimSun" w:hAnsi="Liberation Serif" w:cs="Liberation Serif" w:hint="eastAsia"/>
          <w:bCs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 w:cs="Liberation Serif"/>
          <w:sz w:val="26"/>
          <w:szCs w:val="26"/>
          <w:lang w:eastAsia="zh-CN" w:bidi="hi-IN"/>
        </w:rPr>
        <w:t>10. </w:t>
      </w:r>
      <w:r>
        <w:rPr>
          <w:rFonts w:ascii="Liberation Serif" w:eastAsia="SimSun" w:hAnsi="Liberation Serif" w:cs="Liberation Serif"/>
          <w:color w:val="000000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9A5380" w:rsidRDefault="009A5380">
      <w:pPr>
        <w:jc w:val="both"/>
        <w:textAlignment w:val="baseline"/>
        <w:rPr>
          <w:rFonts w:ascii="Liberation Serif" w:eastAsia="SimSun" w:hAnsi="Liberation Serif" w:cs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B64952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sz w:val="26"/>
          <w:szCs w:val="26"/>
          <w:shd w:val="clear" w:color="auto" w:fill="FFFFFF"/>
          <w:lang w:eastAsia="zh-CN" w:bidi="hi-IN"/>
        </w:rPr>
        <w:t>Начальник Управления имущественных</w:t>
      </w:r>
    </w:p>
    <w:p w:rsidR="009A5380" w:rsidRDefault="00B64952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9A5380" w:rsidRDefault="00B64952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                           </w:t>
      </w:r>
      <w:r>
        <w:rPr>
          <w:rFonts w:ascii="Liberation Serif" w:eastAsia="SimSun" w:hAnsi="Liberation Serif"/>
          <w:bCs/>
          <w:sz w:val="26"/>
          <w:szCs w:val="26"/>
          <w:shd w:val="clear" w:color="auto" w:fill="FFFFFF"/>
          <w:lang w:eastAsia="zh-CN" w:bidi="hi-IN"/>
        </w:rPr>
        <w:t xml:space="preserve">           К.В. Козырева</w:t>
      </w: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</w:p>
    <w:p w:rsidR="009A5380" w:rsidRDefault="009A5380">
      <w:pPr>
        <w:spacing w:line="100" w:lineRule="atLeast"/>
        <w:textAlignment w:val="baseline"/>
        <w:rPr>
          <w:rFonts w:ascii="Liberation Serif" w:eastAsia="SimSun" w:hAnsi="Liberation Serif" w:hint="eastAsia"/>
          <w:bCs/>
          <w:sz w:val="26"/>
          <w:szCs w:val="26"/>
          <w:shd w:val="clear" w:color="auto" w:fill="FFFFFF"/>
          <w:lang w:eastAsia="zh-CN" w:bidi="hi-IN"/>
        </w:rPr>
      </w:pPr>
      <w:bookmarkStart w:id="0" w:name="_GoBack"/>
      <w:bookmarkEnd w:id="0"/>
    </w:p>
    <w:sectPr w:rsidR="009A5380" w:rsidSect="00B64952">
      <w:headerReference w:type="default" r:id="rId9"/>
      <w:headerReference w:type="first" r:id="rId10"/>
      <w:pgSz w:w="11906" w:h="16838"/>
      <w:pgMar w:top="1134" w:right="567" w:bottom="1134" w:left="1418" w:header="567" w:footer="0" w:gutter="0"/>
      <w:cols w:space="720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64952">
      <w:r>
        <w:separator/>
      </w:r>
    </w:p>
  </w:endnote>
  <w:endnote w:type="continuationSeparator" w:id="0">
    <w:p w:rsidR="00000000" w:rsidRDefault="00B6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64952">
      <w:r>
        <w:separator/>
      </w:r>
    </w:p>
  </w:footnote>
  <w:footnote w:type="continuationSeparator" w:id="0">
    <w:p w:rsidR="00000000" w:rsidRDefault="00B64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5626542"/>
      <w:docPartObj>
        <w:docPartGallery w:val="Page Numbers (Top of Page)"/>
        <w:docPartUnique/>
      </w:docPartObj>
    </w:sdtPr>
    <w:sdtEndPr/>
    <w:sdtContent>
      <w:p w:rsidR="009A5380" w:rsidRDefault="00B64952">
        <w:pPr>
          <w:pStyle w:val="af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  <w:p w:rsidR="009A5380" w:rsidRDefault="00B64952">
        <w:pPr>
          <w:pStyle w:val="af6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380" w:rsidRDefault="009A5380">
    <w:pPr>
      <w:pStyle w:val="af6"/>
      <w:jc w:val="center"/>
    </w:pPr>
  </w:p>
  <w:p w:rsidR="009A5380" w:rsidRDefault="009A5380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E0700"/>
    <w:multiLevelType w:val="multilevel"/>
    <w:tmpl w:val="85D0161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72696A99"/>
    <w:multiLevelType w:val="multilevel"/>
    <w:tmpl w:val="87DEE2A0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9120690"/>
    <w:multiLevelType w:val="multilevel"/>
    <w:tmpl w:val="C8F4E1B2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ascii="Liberation Serif" w:eastAsia="Times New Roman" w:hAnsi="Liberation Serif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sz w:val="26"/>
        <w:szCs w:val="28"/>
        <w:highlight w:val="white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eastAsia="Times New Roman" w:cs="Bookman Old Style"/>
        <w:bCs/>
        <w:w w:val="100"/>
        <w:sz w:val="28"/>
        <w:szCs w:val="28"/>
        <w:highlight w:val="white"/>
        <w:lang w:val="ru-RU" w:eastAsia="zh-CN" w:bidi="ar-SA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eastAsia="SimSun" w:cs="Times New Roman"/>
        <w:bCs/>
        <w:i w:val="0"/>
        <w:iCs w:val="0"/>
        <w:w w:val="100"/>
        <w:sz w:val="28"/>
        <w:szCs w:val="28"/>
        <w:highlight w:val="white"/>
        <w:lang w:val="ru-RU" w:eastAsia="zh-CN" w:bidi="hi-I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80"/>
    <w:rsid w:val="009A5380"/>
    <w:rsid w:val="00B6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61648-EDAC-43CE-93BD-4F8640B8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Arial"/>
      <w:w w:val="100"/>
      <w:sz w:val="28"/>
      <w:szCs w:val="28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ascii="Liberation Serif" w:eastAsia="Times New Roman" w:hAnsi="Liberation Serif" w:cs="Times New Roman"/>
      <w:b/>
      <w:bCs/>
      <w:i w:val="0"/>
      <w:iCs w:val="0"/>
      <w:caps w:val="0"/>
      <w:smallCaps w:val="0"/>
      <w:strike w:val="0"/>
      <w:dstrike w:val="0"/>
      <w:spacing w:val="0"/>
      <w:w w:val="100"/>
      <w:sz w:val="26"/>
      <w:szCs w:val="28"/>
      <w:highlight w:val="white"/>
      <w:lang w:val="ru-RU" w:eastAsia="zh-CN" w:bidi="ar-SA"/>
    </w:rPr>
  </w:style>
  <w:style w:type="character" w:customStyle="1" w:styleId="ListLabel12">
    <w:name w:val="ListLabel 12"/>
    <w:qFormat/>
    <w:rPr>
      <w:rFonts w:eastAsia="Times New Roman" w:cs="Bookman Old Style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13">
    <w:name w:val="ListLabel 13"/>
    <w:qFormat/>
    <w:rPr>
      <w:rFonts w:eastAsia="SimSun" w:cs="Times New Roman"/>
      <w:bCs/>
      <w:i w:val="0"/>
      <w:iCs w:val="0"/>
      <w:w w:val="100"/>
      <w:sz w:val="28"/>
      <w:szCs w:val="28"/>
      <w:highlight w:val="white"/>
      <w:lang w:val="ru-RU" w:eastAsia="zh-CN" w:bidi="hi-IN"/>
    </w:rPr>
  </w:style>
  <w:style w:type="character" w:customStyle="1" w:styleId="ListLabel14">
    <w:name w:val="ListLabel 14"/>
    <w:qFormat/>
    <w:rPr>
      <w:rFonts w:eastAsia="Times New Roman" w:cs="Times New Roman"/>
      <w:b w:val="0"/>
      <w:bCs/>
      <w:i w:val="0"/>
      <w:iCs w:val="0"/>
      <w:caps w:val="0"/>
      <w:smallCaps w:val="0"/>
      <w:strike w:val="0"/>
      <w:dstrike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15">
    <w:name w:val="ListLabel 15"/>
    <w:qFormat/>
    <w:rPr>
      <w:rFonts w:eastAsia="Times New Roman" w:cs="Bookman Old Style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16">
    <w:name w:val="ListLabel 16"/>
    <w:qFormat/>
    <w:rPr>
      <w:rFonts w:eastAsia="SimSun" w:cs="Times New Roman"/>
      <w:bCs/>
      <w:i w:val="0"/>
      <w:iCs w:val="0"/>
      <w:w w:val="100"/>
      <w:sz w:val="28"/>
      <w:szCs w:val="28"/>
      <w:highlight w:val="white"/>
      <w:lang w:val="ru-RU" w:eastAsia="zh-CN" w:bidi="hi-IN"/>
    </w:rPr>
  </w:style>
  <w:style w:type="paragraph" w:customStyle="1" w:styleId="ac">
    <w:name w:val="Заголовок"/>
    <w:basedOn w:val="Standard"/>
    <w:next w:val="ad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Standard"/>
    <w:qFormat/>
    <w:rsid w:val="00EE59EE"/>
    <w:pPr>
      <w:suppressLineNumbers/>
    </w:p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2">
    <w:name w:val="Колонтитул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Standard"/>
    <w:qFormat/>
    <w:rsid w:val="00EE59EE"/>
    <w:pPr>
      <w:suppressLineNumbers/>
    </w:pPr>
  </w:style>
  <w:style w:type="paragraph" w:styleId="af6">
    <w:name w:val="header"/>
    <w:basedOn w:val="af2"/>
    <w:uiPriority w:val="99"/>
    <w:pPr>
      <w:suppressLineNumbers/>
      <w:tabs>
        <w:tab w:val="center" w:pos="4819"/>
        <w:tab w:val="right" w:pos="9638"/>
      </w:tabs>
    </w:pPr>
  </w:style>
  <w:style w:type="paragraph" w:styleId="af7">
    <w:name w:val="Body Text Indent"/>
    <w:basedOn w:val="a"/>
    <w:uiPriority w:val="99"/>
    <w:semiHidden/>
    <w:unhideWhenUsed/>
    <w:rsid w:val="001E4E16"/>
    <w:pPr>
      <w:spacing w:after="120"/>
      <w:ind w:left="283"/>
    </w:p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3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9">
    <w:name w:val="Заголовок таблицы"/>
    <w:basedOn w:val="af5"/>
    <w:qFormat/>
    <w:rsid w:val="00EE59EE"/>
    <w:pPr>
      <w:jc w:val="center"/>
    </w:pPr>
    <w:rPr>
      <w:b/>
      <w:bCs/>
    </w:r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b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numbering" w:customStyle="1" w:styleId="WW8Num2">
    <w:name w:val="WW8Num2"/>
    <w:qFormat/>
    <w:rsid w:val="009660A9"/>
  </w:style>
  <w:style w:type="numbering" w:customStyle="1" w:styleId="14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5">
    <w:name w:val="Стиль1"/>
    <w:uiPriority w:val="99"/>
    <w:qFormat/>
    <w:rsid w:val="008E23BC"/>
  </w:style>
  <w:style w:type="numbering" w:customStyle="1" w:styleId="2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WW8Num27">
    <w:name w:val="WW8Num27"/>
    <w:qFormat/>
    <w:rsid w:val="009D6178"/>
  </w:style>
  <w:style w:type="table" w:styleId="afc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B1BF4-062E-4098-B2EE-A0AF9C93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Наталья Сергеевна</dc:creator>
  <dc:description/>
  <cp:lastModifiedBy>А.М. Веретьева</cp:lastModifiedBy>
  <cp:revision>2</cp:revision>
  <cp:lastPrinted>2023-06-08T10:28:00Z</cp:lastPrinted>
  <dcterms:created xsi:type="dcterms:W3CDTF">2023-06-15T08:27:00Z</dcterms:created>
  <dcterms:modified xsi:type="dcterms:W3CDTF">2023-06-15T08:27:00Z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