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u w:val="none"/>
        </w:rPr>
        <w:t xml:space="preserve">Доклад о результатах правоприменительной практики при осуществлении регионального государственного </w:t>
      </w:r>
      <w:r>
        <w:rPr>
          <w:rFonts w:ascii="Times New Roman" w:hAnsi="Times New Roman"/>
          <w:b/>
          <w:sz w:val="28"/>
          <w:u w:val="none"/>
        </w:rPr>
        <w:t xml:space="preserve">экологического </w:t>
      </w:r>
      <w:r>
        <w:rPr>
          <w:rFonts w:ascii="Times New Roman" w:hAnsi="Times New Roman"/>
          <w:b/>
          <w:sz w:val="28"/>
          <w:u w:val="none"/>
        </w:rPr>
        <w:t xml:space="preserve"> контроля (надзора) в 2022 год</w:t>
      </w:r>
      <w:r>
        <w:rPr>
          <w:rFonts w:ascii="Times New Roman" w:hAnsi="Times New Roman"/>
          <w:sz w:val="28"/>
          <w:u w:val="none"/>
        </w:rPr>
        <w:t>у</w:t>
      </w:r>
    </w:p>
    <w:p>
      <w:pPr>
        <w:pStyle w:val="Normal"/>
        <w:spacing w:before="0" w:after="0"/>
        <w:ind w:left="0" w:right="0" w:firstLine="540"/>
        <w:jc w:val="both"/>
        <w:rPr>
          <w:rFonts w:ascii="Times New Roman" w:hAnsi="Times New Roman"/>
          <w:b w:val="false"/>
          <w:b w:val="false"/>
          <w:sz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sz w:val="28"/>
          <w:u w:val="none"/>
        </w:rPr>
        <w:t xml:space="preserve">Отдел </w:t>
      </w:r>
      <w:r>
        <w:rPr>
          <w:rFonts w:ascii="Times New Roman" w:hAnsi="Times New Roman"/>
          <w:b w:val="false"/>
          <w:bCs w:val="false"/>
          <w:i w:val="false"/>
          <w:sz w:val="28"/>
          <w:u w:val="none"/>
        </w:rPr>
        <w:t xml:space="preserve">природных ресурсов и охраны окружающей среды </w:t>
      </w:r>
      <w:r>
        <w:rPr>
          <w:rFonts w:ascii="Times New Roman" w:hAnsi="Times New Roman"/>
          <w:b w:val="false"/>
          <w:bCs w:val="false"/>
          <w:i w:val="false"/>
          <w:sz w:val="28"/>
          <w:u w:val="none"/>
        </w:rPr>
        <w:t xml:space="preserve">администрации Грязовецкого муниципального района </w:t>
      </w:r>
      <w:r>
        <w:rPr>
          <w:rFonts w:ascii="Times New Roman" w:hAnsi="Times New Roman"/>
          <w:b w:val="false"/>
          <w:bCs w:val="false"/>
          <w:i w:val="false"/>
          <w:sz w:val="28"/>
          <w:u w:val="none"/>
        </w:rPr>
        <w:t xml:space="preserve">Вологодской области (далее — </w:t>
      </w:r>
      <w:r>
        <w:rPr>
          <w:rFonts w:ascii="Times New Roman" w:hAnsi="Times New Roman"/>
          <w:b w:val="false"/>
          <w:bCs w:val="false"/>
          <w:i w:val="false"/>
          <w:sz w:val="28"/>
          <w:u w:val="none"/>
        </w:rPr>
        <w:t>Отдел ПР и ООС</w:t>
      </w:r>
      <w:r>
        <w:rPr>
          <w:rFonts w:ascii="Times New Roman" w:hAnsi="Times New Roman"/>
          <w:b w:val="false"/>
          <w:bCs w:val="false"/>
          <w:i w:val="false"/>
          <w:sz w:val="28"/>
          <w:u w:val="none"/>
        </w:rPr>
        <w:t xml:space="preserve">) действует на основании 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>Закон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>а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 xml:space="preserve"> Вологодской области от 28 июня 2006 года № 1465-ОЗ "О наделении органов местного самоуправления отдельными государственными полномочиями в сфере охраны окружающей среды", Решени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>я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 xml:space="preserve"> Земского Собрания Грязовецкого муниципального района от 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  <w:lang w:val="en-US"/>
        </w:rPr>
        <w:t>15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 xml:space="preserve"> 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  <w:lang w:val="ru-RU"/>
        </w:rPr>
        <w:t>февраля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 xml:space="preserve"> 2022 года 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  <w:shd w:fill="FFFFFF" w:val="clear"/>
        </w:rPr>
        <w:t>№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 xml:space="preserve"> 13 "Об осуществлении органами местного самоуправления Грязовецкого муниципального района отдельных государственных полномочий Вологодской области в сфере охраны окружающей среды" </w:t>
      </w:r>
      <w:r>
        <w:rPr>
          <w:rStyle w:val="21"/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>и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Положением о региональном государственном экологическом контроле (надзоре) утвержденным постановлением Правительства Вологодской области от 8 ноября 2021 года № 1269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u w:val="none"/>
        </w:rPr>
        <w:t>.</w:t>
      </w:r>
    </w:p>
    <w:p>
      <w:pPr>
        <w:pStyle w:val="Normal"/>
        <w:spacing w:before="0" w:after="0"/>
        <w:ind w:left="0" w:right="0" w:firstLine="540"/>
        <w:jc w:val="both"/>
        <w:rPr/>
      </w:pPr>
      <w:r>
        <w:rPr>
          <w:rFonts w:ascii="Times New Roman" w:hAnsi="Times New Roman"/>
          <w:b w:val="false"/>
          <w:bCs w:val="false"/>
          <w:i w:val="false"/>
          <w:sz w:val="28"/>
          <w:u w:val="none"/>
        </w:rPr>
        <w:t xml:space="preserve">Отдел ПР и ООС </w:t>
      </w:r>
      <w:r>
        <w:rPr>
          <w:rFonts w:ascii="Times New Roman" w:hAnsi="Times New Roman"/>
          <w:sz w:val="28"/>
        </w:rPr>
        <w:t xml:space="preserve">осуществляет полномочия по региональному государственному </w:t>
      </w:r>
      <w:r>
        <w:rPr>
          <w:rFonts w:ascii="Times New Roman" w:hAnsi="Times New Roman"/>
          <w:sz w:val="28"/>
        </w:rPr>
        <w:t>экологическому</w:t>
      </w:r>
      <w:r>
        <w:rPr>
          <w:rFonts w:ascii="Times New Roman" w:hAnsi="Times New Roman"/>
          <w:sz w:val="28"/>
        </w:rPr>
        <w:t xml:space="preserve"> контролю (надзору) с </w:t>
      </w:r>
      <w:r>
        <w:rPr>
          <w:rFonts w:ascii="Times New Roman" w:hAnsi="Times New Roman"/>
          <w:sz w:val="28"/>
          <w:u w:val="none"/>
        </w:rPr>
        <w:t>1</w:t>
      </w:r>
      <w:r>
        <w:rPr>
          <w:rFonts w:ascii="Times New Roman" w:hAnsi="Times New Roman"/>
          <w:sz w:val="28"/>
          <w:u w:val="none"/>
        </w:rPr>
        <w:t>5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февраля</w:t>
      </w:r>
      <w:r>
        <w:rPr>
          <w:rFonts w:ascii="Times New Roman" w:hAnsi="Times New Roman"/>
          <w:sz w:val="28"/>
          <w:u w:val="none"/>
        </w:rPr>
        <w:t xml:space="preserve"> 2022 года. </w:t>
      </w:r>
      <w:r>
        <w:rPr>
          <w:rFonts w:ascii="Times New Roman" w:hAnsi="Times New Roman"/>
          <w:sz w:val="28"/>
        </w:rPr>
        <w:t xml:space="preserve">До </w:t>
      </w:r>
      <w:r>
        <w:rPr>
          <w:rFonts w:ascii="Times New Roman" w:hAnsi="Times New Roman"/>
          <w:sz w:val="28"/>
          <w:u w:val="none"/>
        </w:rPr>
        <w:t>1</w:t>
      </w:r>
      <w:r>
        <w:rPr>
          <w:rFonts w:ascii="Times New Roman" w:hAnsi="Times New Roman"/>
          <w:sz w:val="28"/>
          <w:u w:val="none"/>
        </w:rPr>
        <w:t>5</w:t>
      </w:r>
      <w:r>
        <w:rPr>
          <w:rFonts w:ascii="Times New Roman" w:hAnsi="Times New Roman"/>
          <w:sz w:val="28"/>
          <w:u w:val="none"/>
        </w:rPr>
        <w:t xml:space="preserve"> </w:t>
      </w:r>
      <w:r>
        <w:rPr>
          <w:rFonts w:ascii="Times New Roman" w:hAnsi="Times New Roman"/>
          <w:sz w:val="28"/>
          <w:u w:val="none"/>
        </w:rPr>
        <w:t>феврал</w:t>
      </w:r>
      <w:r>
        <w:rPr>
          <w:rFonts w:ascii="Times New Roman" w:hAnsi="Times New Roman"/>
          <w:sz w:val="28"/>
          <w:u w:val="none"/>
        </w:rPr>
        <w:t xml:space="preserve">я </w:t>
      </w:r>
      <w:r>
        <w:rPr>
          <w:rFonts w:ascii="Times New Roman" w:hAnsi="Times New Roman"/>
          <w:sz w:val="28"/>
          <w:u w:val="none"/>
        </w:rPr>
        <w:t>2022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осуществлялся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региональный государственный экологический надзор (в части регионального государственного надзора 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Грязовецкого муниципального района Вологодской области, за исключением объектов подлежащих региональному государственному экологическому надзору Департаментом природных ресурсов и  охраны окружающей среды Вологодской области.</w:t>
      </w:r>
    </w:p>
    <w:p>
      <w:pPr>
        <w:pStyle w:val="Normal"/>
        <w:spacing w:before="0" w:after="0"/>
        <w:ind w:left="0" w:right="0" w:firstLine="540"/>
        <w:jc w:val="both"/>
        <w:rPr/>
      </w:pPr>
      <w:r>
        <w:rPr>
          <w:rFonts w:ascii="Times New Roman" w:hAnsi="Times New Roman"/>
          <w:sz w:val="28"/>
        </w:rPr>
        <w:t xml:space="preserve">Региональный государственный </w:t>
      </w:r>
      <w:r>
        <w:rPr>
          <w:rFonts w:ascii="Times New Roman" w:hAnsi="Times New Roman"/>
          <w:sz w:val="28"/>
        </w:rPr>
        <w:t>экологический</w:t>
      </w:r>
      <w:r>
        <w:rPr>
          <w:rFonts w:ascii="Times New Roman" w:hAnsi="Times New Roman"/>
          <w:sz w:val="28"/>
        </w:rPr>
        <w:t xml:space="preserve"> контроль (надзор) на территории </w:t>
      </w:r>
      <w:r>
        <w:rPr>
          <w:rFonts w:ascii="Times New Roman" w:hAnsi="Times New Roman"/>
          <w:sz w:val="28"/>
        </w:rPr>
        <w:t xml:space="preserve">Грязовецкого муниципального района </w:t>
      </w:r>
      <w:r>
        <w:rPr>
          <w:rFonts w:ascii="Times New Roman" w:hAnsi="Times New Roman"/>
          <w:sz w:val="28"/>
        </w:rPr>
        <w:t xml:space="preserve">Вологодской области осуществляют </w:t>
      </w:r>
      <w:r>
        <w:rPr>
          <w:rFonts w:ascii="Times New Roman" w:hAnsi="Times New Roman"/>
          <w:sz w:val="28"/>
        </w:rPr>
        <w:t xml:space="preserve">2 </w:t>
      </w:r>
      <w:r>
        <w:rPr>
          <w:rFonts w:ascii="Times New Roman" w:hAnsi="Times New Roman"/>
          <w:sz w:val="28"/>
        </w:rPr>
        <w:t>инспектор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– штатных сотрудник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тдела ПР и ООС</w:t>
      </w:r>
      <w:r>
        <w:rPr>
          <w:rFonts w:ascii="Times New Roman" w:hAnsi="Times New Roman"/>
          <w:sz w:val="28"/>
        </w:rPr>
        <w:t xml:space="preserve">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Основными целями и задачами регионального государственного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контроля (надзора) являются предупреждение, выявление и пресечение нарушений требований законодательства в сфере </w:t>
      </w:r>
      <w:r>
        <w:rPr>
          <w:rFonts w:ascii="Times New Roman" w:hAnsi="Times New Roman"/>
          <w:sz w:val="28"/>
        </w:rPr>
        <w:t>охраны окружающей  среды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Региональный государственный </w:t>
      </w:r>
      <w:r>
        <w:rPr>
          <w:rFonts w:ascii="Times New Roman" w:hAnsi="Times New Roman"/>
          <w:sz w:val="28"/>
        </w:rPr>
        <w:t>экологический</w:t>
      </w:r>
      <w:r>
        <w:rPr>
          <w:rFonts w:ascii="Times New Roman" w:hAnsi="Times New Roman"/>
          <w:sz w:val="28"/>
        </w:rPr>
        <w:t xml:space="preserve"> контроль (надзор) осуществляется посредством: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организации и проведения мероприятий по профилактике и предотвращению нарушений обязательных требований;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выявления нарушений обязательных требований;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осуществления деятельности по систематическому наблюдению за исполнением обязательных требований, анализу и прогнозированию состояния исполнения обязательных требований.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Предметом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контроля (надзора) является соблюдение организациями и гражданами обязательных требований в области </w:t>
      </w:r>
      <w:r>
        <w:rPr>
          <w:rFonts w:ascii="Times New Roman" w:hAnsi="Times New Roman"/>
          <w:sz w:val="28"/>
        </w:rPr>
        <w:t>охраны окружающей среды,</w:t>
      </w:r>
      <w:r>
        <w:rPr>
          <w:rFonts w:ascii="Times New Roman" w:hAnsi="Times New Roman"/>
          <w:sz w:val="28"/>
        </w:rPr>
        <w:t xml:space="preserve"> установленных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>Субъектами государственного экологического контроля (надзора) являются юридические лица и индивидуальные предприниматели, осуществляющие деятельность на объектах, оказывающих негативное воздействие на окружающую среду на территории Грязовецкого муниципального района (за исключением объектов, подлежащих федеральному и региональному государственному экологическому контролю (надзору) Департаментом природных ресурсов и охраны окружающей среды Вологодской области.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Объектами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регионального государственного экологического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контроля являются:</w:t>
      </w:r>
    </w:p>
    <w:p>
      <w:pPr>
        <w:pStyle w:val="Normal"/>
        <w:spacing w:lineRule="auto" w:line="24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>
      <w:pPr>
        <w:pStyle w:val="Normal"/>
        <w:widowControl w:val="false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>3) здания, помещения, сооружения, линейные объекты, территории, включая водные и земельные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>
      <w:pPr>
        <w:pStyle w:val="Normal"/>
        <w:widowControl w:val="false"/>
        <w:shd w:val="clear" w:color="auto" w:fill="auto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Работа специалистов </w:t>
      </w:r>
      <w:r>
        <w:rPr>
          <w:rFonts w:ascii="Times New Roman" w:hAnsi="Times New Roman"/>
          <w:sz w:val="28"/>
        </w:rPr>
        <w:t>отдела ПР и ООС</w:t>
      </w:r>
      <w:r>
        <w:rPr>
          <w:rFonts w:ascii="Times New Roman" w:hAnsi="Times New Roman"/>
          <w:sz w:val="28"/>
        </w:rPr>
        <w:t xml:space="preserve"> по осуществлению регионального государственного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надзора строится на принципах риск-ориентированного подхода к проведению мероприятий по надзору, профилактики и предупреждения правонарушений в сфере </w:t>
      </w:r>
      <w:r>
        <w:rPr>
          <w:rFonts w:ascii="Times New Roman" w:hAnsi="Times New Roman"/>
          <w:sz w:val="28"/>
        </w:rPr>
        <w:t>охраны окружающей среды</w:t>
      </w:r>
      <w:r>
        <w:rPr>
          <w:rFonts w:ascii="Times New Roman" w:hAnsi="Times New Roman"/>
          <w:sz w:val="28"/>
        </w:rPr>
        <w:t>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При осуществлении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надзора применяется система оценки и управления рисками.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С учетом тяжести причинения вреда (ущерба) охраняемым законом ценностям и вероятности наступления негативных событий в соответствии с установленными критериями объекты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надзора относятся к одной из следующих категорий риска: умеренный, низкий.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При осуществлении регионального государственного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контроля (надзора) проводятся следующие контрольные (надзорные) мероприятия):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sz w:val="28"/>
        </w:rPr>
        <w:t>без взаимодействия с контролируемым лицом (наблюдение за соблюдением обязательных требований, выездное обследование);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sz w:val="28"/>
        </w:rPr>
        <w:t>при взаимодействии с контролируемым лицом (инспекционный визит, рейдовый осмотр, документарная проверка, выездная проверка).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/>
      </w:r>
    </w:p>
    <w:p>
      <w:pPr>
        <w:pStyle w:val="Normal"/>
        <w:widowControl w:val="false"/>
        <w:shd w:val="clear" w:color="auto" w:fill="auto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 2022 году администрацией Грязовецкого муниципального района плановые, внеплановые проверки не проводились, т.к. в 2022 году в соответствии с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 введены существенные ограничения по проведению плановых и внеплановых контрольных (надзорных) мероприятий, введен мораторий на проведение проверок в отношении бизнеса всех уровней. С 10 марта 2022 года возбуждение дел об административных правонарушениях допускается исключительно в случае, предусмотренном пунктом 3 части 2 статьи 90 Федерального закона от 31 июля 2020 года №248-ФЗ «О государственном контроле (надзоре) и муниципальном контроле в Российской Федерации» - при выявлении административного правонарушения в ходе контрольного (надзорного) мероприятия с взаимодействием с контролируемым лицом. Проведение внеплановых контрольных (надзорных) мероприятий допускается по фактам причинения вреда либо непосредственной угрозы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характера, ущерба обороне  после согласования с органами прокуратуры. </w:t>
      </w:r>
      <w:r>
        <w:rPr>
          <w:rFonts w:ascii="Times New Roman" w:hAnsi="Times New Roman"/>
          <w:b w:val="false"/>
          <w:sz w:val="28"/>
          <w:szCs w:val="28"/>
        </w:rPr>
        <w:t xml:space="preserve">Также пунктом 9 </w:t>
      </w:r>
      <w:r>
        <w:rPr>
          <w:rFonts w:ascii="Times New Roman" w:hAnsi="Times New Roman"/>
          <w:b w:val="false"/>
          <w:sz w:val="28"/>
          <w:szCs w:val="28"/>
        </w:rPr>
        <w:t>Постановлени</w:t>
      </w:r>
      <w:r>
        <w:rPr>
          <w:rFonts w:ascii="Times New Roman" w:hAnsi="Times New Roman"/>
          <w:b w:val="false"/>
          <w:sz w:val="28"/>
          <w:szCs w:val="28"/>
        </w:rPr>
        <w:t>я</w:t>
      </w:r>
      <w:r>
        <w:rPr>
          <w:rFonts w:ascii="Times New Roman" w:hAnsi="Times New Roman"/>
          <w:b w:val="false"/>
          <w:sz w:val="28"/>
          <w:szCs w:val="28"/>
        </w:rPr>
        <w:t xml:space="preserve"> Правительства РФ от 10.03.2022 №336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hAnsi="Times New Roman"/>
          <w:b w:val="false"/>
          <w:sz w:val="28"/>
          <w:szCs w:val="28"/>
        </w:rPr>
        <w:t xml:space="preserve">были ограничены возможности возбуждения дел об административных правонарушениях. 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За 2022 год администрацией Грязовецкого муниципального района проведены 8 консультирований </w:t>
      </w:r>
      <w:r>
        <w:rPr>
          <w:rFonts w:ascii="Times New Roman" w:hAnsi="Times New Roman"/>
          <w:sz w:val="28"/>
        </w:rPr>
        <w:t xml:space="preserve">контролируемых лиц по различным вопросам, связанным с осуществлением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контроля (надзора)</w:t>
      </w:r>
      <w:r>
        <w:rPr>
          <w:rFonts w:ascii="Times New Roman" w:hAnsi="Times New Roman"/>
          <w:sz w:val="28"/>
        </w:rPr>
        <w:t xml:space="preserve">, осуществлено 7 информирований о соблюдении природоохранного законодательства, проведено 3 </w:t>
      </w:r>
      <w:r>
        <w:rPr>
          <w:rFonts w:ascii="Times New Roman" w:hAnsi="Times New Roman"/>
          <w:color w:val="000000"/>
          <w:sz w:val="28"/>
        </w:rPr>
        <w:t xml:space="preserve">обобщения практики (информации) осуществления регионального государственного экологического контроля (надзора) за отчетный период с указанием наиболее часто встречающихся случаев нарушений обязательных требований.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b w:val="false"/>
          <w:sz w:val="28"/>
          <w:szCs w:val="28"/>
        </w:rPr>
        <w:t xml:space="preserve">роведены обследования водных объектов, территорий их водоохранных зон и прибрежных защитных полос, подлежащих региональному государственному экологическому контролю (надзору), в предпаводковый и паводковый период 2022 года, в рамках рассмотрения обращения граждан администрацией Грязовецкого муниципального района проведено </w:t>
      </w:r>
      <w:r>
        <w:rPr>
          <w:rFonts w:ascii="Times New Roman" w:hAnsi="Times New Roman"/>
          <w:b w:val="false"/>
          <w:sz w:val="28"/>
          <w:szCs w:val="28"/>
        </w:rPr>
        <w:t>113</w:t>
      </w:r>
      <w:r>
        <w:rPr>
          <w:rFonts w:ascii="Times New Roman" w:hAnsi="Times New Roman"/>
          <w:b w:val="false"/>
          <w:sz w:val="28"/>
          <w:szCs w:val="28"/>
        </w:rPr>
        <w:t xml:space="preserve"> выездных обследований территорий водоохранных зон водных объектов. Специалистами администрации Грязовецкого муниципального района за 2022 год рассмотрено 1</w:t>
      </w:r>
      <w:r>
        <w:rPr>
          <w:rFonts w:ascii="Times New Roman" w:hAnsi="Times New Roman"/>
          <w:b w:val="false"/>
          <w:sz w:val="28"/>
          <w:szCs w:val="28"/>
        </w:rPr>
        <w:t>7</w:t>
      </w:r>
      <w:r>
        <w:rPr>
          <w:rFonts w:ascii="Times New Roman" w:hAnsi="Times New Roman"/>
          <w:b w:val="false"/>
          <w:sz w:val="28"/>
          <w:szCs w:val="28"/>
        </w:rPr>
        <w:t xml:space="preserve"> жалоб, обращений по фактам нарушений природоохранного законодательства. </w:t>
      </w:r>
      <w:r>
        <w:rPr>
          <w:rFonts w:ascii="Times New Roman" w:hAnsi="Times New Roman"/>
          <w:b w:val="false"/>
          <w:sz w:val="28"/>
          <w:szCs w:val="28"/>
        </w:rPr>
        <w:t>В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ru-RU"/>
        </w:rPr>
        <w:t xml:space="preserve">озбуждено 2 дела об административном правонарушении (составлено 2 протокола об административных правонарушениях). 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ru-RU"/>
        </w:rPr>
        <w:t>У</w:t>
      </w: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bidi="ru-RU"/>
        </w:rPr>
        <w:t>частие в 9 проверках органов прокуратуры в качестве специалистов. Участие в 2 судебных заседаниях по уголовным делам выявленных в ходе контрольно-надзорных мероприятий.</w:t>
      </w:r>
    </w:p>
    <w:p>
      <w:pPr>
        <w:pStyle w:val="Normal"/>
        <w:ind w:left="0" w:right="0"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надзорной деятельности администрации Грязовецкого муниципального района по состоянию на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0.1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.2022 представлены в таблице </w:t>
      </w:r>
    </w:p>
    <w:tbl>
      <w:tblPr>
        <w:tblW w:w="1025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  <w:gridCol w:w="1395"/>
      </w:tblGrid>
      <w:tr>
        <w:trPr>
          <w:trHeight w:val="429" w:hRule="atLeast"/>
        </w:trPr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Проведено контрольно-надзорных мероприятий, всего: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8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выездные обследования (с получением Задания на проведение КНМ без взаимодействия с контролируемым лицом и составлением Акта выездного обследования)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озбуждение дел об административных правонарушениях по выявленным фактам нарушения требований природоохранного законодательства и составление протоколов об административных правонарушениях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bidi="ru-RU"/>
              </w:rPr>
              <w:t>частие в проверках органов прокуратуры в качестве специалистов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-108" w:hanging="0"/>
              <w:rPr>
                <w:rFonts w:ascii="Times New Roman" w:hAnsi="Times New Roman"/>
              </w:rPr>
            </w:pPr>
            <w:bookmarkStart w:id="0" w:name="__DdeLink__808_370391475311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bidi="ru-RU"/>
              </w:rPr>
              <w:t>частие в судебных заседаниях по уголовным делам выявленных в ходе КНМ</w:t>
            </w:r>
            <w:bookmarkEnd w:id="0"/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 жалоб и обращений граждан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-108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мероприятий, всего: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т.ч. Информирование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86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ind w:left="0" w:right="-108" w:hanging="0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</w:tr>
    </w:tbl>
    <w:p>
      <w:pPr>
        <w:pStyle w:val="Normal"/>
        <w:widowControl w:val="false"/>
        <w:shd w:val="clear" w:color="auto" w:fill="auto"/>
        <w:spacing w:lineRule="auto" w:line="240" w:before="0" w:after="0"/>
        <w:ind w:left="0" w:right="0" w:firstLine="426"/>
        <w:jc w:val="both"/>
        <w:rPr>
          <w:rFonts w:ascii="Times New Roman" w:hAnsi="Times New Roman"/>
          <w:sz w:val="28"/>
          <w:u w:val="none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При осуществлении регионального государственного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контроля (надзора) в 2022 году </w:t>
      </w:r>
      <w:r>
        <w:rPr>
          <w:rFonts w:ascii="Times New Roman" w:hAnsi="Times New Roman"/>
          <w:sz w:val="28"/>
        </w:rPr>
        <w:t>отделом ПР и ООС</w:t>
      </w:r>
      <w:r>
        <w:rPr>
          <w:rFonts w:ascii="Times New Roman" w:hAnsi="Times New Roman"/>
          <w:sz w:val="28"/>
        </w:rPr>
        <w:t xml:space="preserve"> чаще всего выявлялись следующие нарушения обязательных требований, установленных законодательством в сфере </w:t>
      </w:r>
      <w:r>
        <w:rPr>
          <w:rFonts w:ascii="Times New Roman" w:hAnsi="Times New Roman"/>
          <w:sz w:val="28"/>
        </w:rPr>
        <w:t>охраны окружающей среды</w:t>
      </w:r>
      <w:r>
        <w:rPr>
          <w:rFonts w:ascii="Times New Roman" w:hAnsi="Times New Roman"/>
          <w:sz w:val="28"/>
        </w:rPr>
        <w:t>: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нарушение требований в сфере обращения с отходами производства и потребления, в т.ч. несанкционированное размещение отходов;</w:t>
      </w:r>
    </w:p>
    <w:p>
      <w:pPr>
        <w:pStyle w:val="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нарушение требований водоохранного законодательства;</w:t>
      </w:r>
    </w:p>
    <w:p>
      <w:pPr>
        <w:pStyle w:val="Normal"/>
        <w:ind w:left="0" w:right="0" w:firstLine="709"/>
        <w:jc w:val="both"/>
        <w:rPr/>
      </w:pPr>
      <w:r>
        <w:rPr>
          <w:rFonts w:ascii="Times New Roman" w:hAnsi="Times New Roman"/>
          <w:sz w:val="28"/>
        </w:rPr>
        <w:t xml:space="preserve">В соответствии с Программой профилактики рисков причинения вреда (ущерба) охраняемым законом ценностям при проведении мероприятий по осуществлению </w:t>
      </w:r>
      <w:r>
        <w:rPr>
          <w:rFonts w:ascii="Times New Roman" w:hAnsi="Times New Roman"/>
          <w:sz w:val="28"/>
        </w:rPr>
        <w:t>Отделом ПР и ООС</w:t>
      </w:r>
      <w:r>
        <w:rPr>
          <w:rFonts w:ascii="Times New Roman" w:hAnsi="Times New Roman"/>
          <w:sz w:val="28"/>
        </w:rPr>
        <w:t xml:space="preserve"> регионального государственного геологического контроля (надзора) на 2022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и плановый период 2023-2024 годы, утвержденной п</w:t>
      </w:r>
      <w:r>
        <w:rPr>
          <w:rFonts w:ascii="Times New Roman" w:hAnsi="Times New Roman"/>
          <w:sz w:val="28"/>
        </w:rPr>
        <w:t xml:space="preserve">остановлением администрации </w:t>
      </w:r>
      <w:r>
        <w:rPr>
          <w:rFonts w:ascii="Times New Roman" w:hAnsi="Times New Roman"/>
          <w:sz w:val="28"/>
        </w:rPr>
        <w:t xml:space="preserve">Грязовецкого муниципального района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декабря 2021 года № </w:t>
      </w:r>
      <w:r>
        <w:rPr>
          <w:rFonts w:ascii="Times New Roman" w:hAnsi="Times New Roman"/>
          <w:sz w:val="28"/>
        </w:rPr>
        <w:t xml:space="preserve">668, с изменениями внесенными постановлением </w:t>
      </w: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Грязовецкого муниципального района от 06 апреля 2022 года № 136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Отделом ПР и ООС</w:t>
      </w:r>
      <w:r>
        <w:rPr>
          <w:rFonts w:ascii="Times New Roman" w:hAnsi="Times New Roman"/>
          <w:sz w:val="28"/>
        </w:rPr>
        <w:t xml:space="preserve"> проводились следующие профилактические мероприятия.</w:t>
      </w:r>
    </w:p>
    <w:p>
      <w:pPr>
        <w:pStyle w:val="Normal"/>
        <w:numPr>
          <w:ilvl w:val="0"/>
          <w:numId w:val="3"/>
        </w:numPr>
        <w:spacing w:before="0" w:after="0"/>
        <w:ind w:left="0" w:right="0" w:firstLine="283"/>
        <w:jc w:val="both"/>
        <w:rPr/>
      </w:pPr>
      <w:r>
        <w:rPr>
          <w:rFonts w:ascii="Times New Roman" w:hAnsi="Times New Roman"/>
          <w:sz w:val="28"/>
        </w:rPr>
        <w:t xml:space="preserve">информирование контролируемых и иных заинтересованных лиц (заключается в первую очередь в ведении раздела «Контроль и надзор» на официальном сайте </w:t>
      </w:r>
      <w:r>
        <w:rPr>
          <w:rFonts w:ascii="Times New Roman" w:hAnsi="Times New Roman"/>
          <w:sz w:val="28"/>
        </w:rPr>
        <w:t>Грязовецкого муниципального района</w:t>
      </w:r>
      <w:r>
        <w:rPr>
          <w:rFonts w:ascii="Times New Roman" w:hAnsi="Times New Roman"/>
          <w:sz w:val="28"/>
        </w:rPr>
        <w:t xml:space="preserve"> Вологодской области, в котором своевременно размещаются все тексты нормативно-правовых актов, устанавливающих обязательные требования, а также регулирующих осуществление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надзора и другие актуальные документы. В этом же разделе будет размещен и доклад, содержащий результаты обобщения правоприменительной практики);</w:t>
      </w:r>
    </w:p>
    <w:p>
      <w:pPr>
        <w:pStyle w:val="Normal"/>
        <w:numPr>
          <w:ilvl w:val="0"/>
          <w:numId w:val="3"/>
        </w:numPr>
        <w:spacing w:before="0" w:after="0"/>
        <w:ind w:left="0" w:right="0" w:firstLine="283"/>
        <w:jc w:val="both"/>
        <w:rPr/>
      </w:pPr>
      <w:r>
        <w:rPr>
          <w:rFonts w:ascii="Times New Roman" w:hAnsi="Times New Roman"/>
          <w:sz w:val="28"/>
        </w:rPr>
        <w:t xml:space="preserve">осуществлялось </w:t>
      </w:r>
      <w:bookmarkStart w:id="1" w:name="__DdeLink__728_2781411536"/>
      <w:r>
        <w:rPr>
          <w:rFonts w:ascii="Times New Roman" w:hAnsi="Times New Roman"/>
          <w:sz w:val="28"/>
          <w:u w:val="none"/>
        </w:rPr>
        <w:t>консультирование</w:t>
      </w:r>
      <w:r>
        <w:rPr>
          <w:rFonts w:ascii="Times New Roman" w:hAnsi="Times New Roman"/>
          <w:sz w:val="28"/>
        </w:rPr>
        <w:t xml:space="preserve"> контролируемых лиц (письменно, по телефону, лично) по различным вопросам, связанным с осуществлением </w:t>
      </w:r>
      <w:r>
        <w:rPr>
          <w:rFonts w:ascii="Times New Roman" w:hAnsi="Times New Roman"/>
          <w:sz w:val="28"/>
        </w:rPr>
        <w:t>экологического</w:t>
      </w:r>
      <w:r>
        <w:rPr>
          <w:rFonts w:ascii="Times New Roman" w:hAnsi="Times New Roman"/>
          <w:sz w:val="28"/>
        </w:rPr>
        <w:t xml:space="preserve"> контроля (надзора)</w:t>
      </w:r>
      <w:bookmarkEnd w:id="1"/>
      <w:r>
        <w:rPr>
          <w:rFonts w:ascii="Times New Roman" w:hAnsi="Times New Roman"/>
          <w:sz w:val="28"/>
        </w:rPr>
        <w:t>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  <w:u w:val="none"/>
        </w:rPr>
      </w:pPr>
      <w:r>
        <w:rPr>
          <w:rFonts w:ascii="Times New Roman" w:hAnsi="Times New Roman"/>
          <w:sz w:val="28"/>
          <w:u w:val="none"/>
        </w:rPr>
        <w:t xml:space="preserve">Таким образом, региональный государственный </w:t>
      </w:r>
      <w:r>
        <w:rPr>
          <w:rFonts w:ascii="Times New Roman" w:hAnsi="Times New Roman"/>
          <w:sz w:val="28"/>
          <w:u w:val="none"/>
        </w:rPr>
        <w:t>экологический</w:t>
      </w:r>
      <w:r>
        <w:rPr>
          <w:rFonts w:ascii="Times New Roman" w:hAnsi="Times New Roman"/>
          <w:sz w:val="28"/>
          <w:u w:val="none"/>
        </w:rPr>
        <w:t xml:space="preserve"> контроль (надзор) на территории </w:t>
      </w:r>
      <w:r>
        <w:rPr>
          <w:rFonts w:ascii="Times New Roman" w:hAnsi="Times New Roman"/>
          <w:sz w:val="28"/>
          <w:u w:val="none"/>
        </w:rPr>
        <w:t xml:space="preserve">Грязовецкого муниципального района </w:t>
      </w:r>
      <w:r>
        <w:rPr>
          <w:rFonts w:ascii="Times New Roman" w:hAnsi="Times New Roman"/>
          <w:sz w:val="28"/>
          <w:u w:val="none"/>
        </w:rPr>
        <w:t>Вологодской области осуществляется в соответствии с действующим законодательством в полном объеме.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 w:asciiTheme="minorAscii" w:hAnsiTheme="minorHAnsi"/>
        <w:color w:val="000000"/>
        <w:sz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link w:val="Style_10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0"/>
    </w:pPr>
    <w:rPr>
      <w:rFonts w:ascii="XO Thames" w:hAnsi="XO Thames" w:eastAsia="NSimSun" w:cs="Arial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2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1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7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2"/>
    </w:pPr>
    <w:rPr>
      <w:rFonts w:ascii="XO Thames" w:hAnsi="XO Thames" w:eastAsia="NSimSun" w:cs="Arial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21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3"/>
    </w:pPr>
    <w:rPr>
      <w:rFonts w:ascii="XO Thames" w:hAnsi="XO Thames" w:eastAsia="NSimSun" w:cs="Arial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9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NSimSun" w:cs="Ari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DefaultParagraphFont">
    <w:name w:val="Default Paragraph Font"/>
    <w:link w:val="Style_4"/>
    <w:qFormat/>
    <w:rPr/>
  </w:style>
  <w:style w:type="character" w:styleId="Contents6">
    <w:name w:val="Contents 6"/>
    <w:link w:val="Style_5"/>
    <w:qFormat/>
    <w:rPr>
      <w:rFonts w:ascii="XO Thames" w:hAnsi="XO Thames"/>
      <w:sz w:val="28"/>
    </w:rPr>
  </w:style>
  <w:style w:type="character" w:styleId="Contents7">
    <w:name w:val="Contents 7"/>
    <w:link w:val="Style_6"/>
    <w:qFormat/>
    <w:rPr>
      <w:rFonts w:ascii="XO Thames" w:hAnsi="XO Thames"/>
      <w:sz w:val="28"/>
    </w:rPr>
  </w:style>
  <w:style w:type="character" w:styleId="Heading3">
    <w:name w:val="Heading 3"/>
    <w:link w:val="Style_7"/>
    <w:qFormat/>
    <w:rPr>
      <w:rFonts w:ascii="XO Thames" w:hAnsi="XO Thames"/>
      <w:b/>
      <w:sz w:val="26"/>
    </w:rPr>
  </w:style>
  <w:style w:type="character" w:styleId="Contents3">
    <w:name w:val="Contents 3"/>
    <w:link w:val="Style_8"/>
    <w:qFormat/>
    <w:rPr>
      <w:rFonts w:ascii="XO Thames" w:hAnsi="XO Thames"/>
      <w:sz w:val="28"/>
    </w:rPr>
  </w:style>
  <w:style w:type="character" w:styleId="Heading5">
    <w:name w:val="Heading 5"/>
    <w:link w:val="Style_9"/>
    <w:qFormat/>
    <w:rPr>
      <w:rFonts w:ascii="XO Thames" w:hAnsi="XO Thames"/>
      <w:b/>
      <w:sz w:val="22"/>
    </w:rPr>
  </w:style>
  <w:style w:type="character" w:styleId="Heading1">
    <w:name w:val="Heading 1"/>
    <w:link w:val="Style_10"/>
    <w:qFormat/>
    <w:rPr>
      <w:rFonts w:ascii="XO Thames" w:hAnsi="XO Thames"/>
      <w:b/>
      <w:sz w:val="32"/>
    </w:rPr>
  </w:style>
  <w:style w:type="character" w:styleId="Style9">
    <w:name w:val="Интернет-ссылка"/>
    <w:basedOn w:val="DefaultParagraphFont"/>
    <w:link w:val="Style_11"/>
    <w:rPr>
      <w:color w:val="0000FF"/>
      <w:u w:val="single"/>
    </w:rPr>
  </w:style>
  <w:style w:type="character" w:styleId="Footnote">
    <w:name w:val="Footnote"/>
    <w:link w:val="Style_12"/>
    <w:qFormat/>
    <w:rPr>
      <w:rFonts w:ascii="XO Thames" w:hAnsi="XO Thames"/>
      <w:sz w:val="22"/>
    </w:rPr>
  </w:style>
  <w:style w:type="character" w:styleId="Contents1">
    <w:name w:val="Contents 1"/>
    <w:link w:val="Style_13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4"/>
    <w:qFormat/>
    <w:rPr>
      <w:rFonts w:ascii="XO Thames" w:hAnsi="XO Thames"/>
      <w:sz w:val="20"/>
    </w:rPr>
  </w:style>
  <w:style w:type="character" w:styleId="Contents9">
    <w:name w:val="Contents 9"/>
    <w:link w:val="Style_15"/>
    <w:qFormat/>
    <w:rPr>
      <w:rFonts w:ascii="XO Thames" w:hAnsi="XO Thames"/>
      <w:sz w:val="28"/>
    </w:rPr>
  </w:style>
  <w:style w:type="character" w:styleId="Contents8">
    <w:name w:val="Contents 8"/>
    <w:link w:val="Style_16"/>
    <w:qFormat/>
    <w:rPr>
      <w:rFonts w:ascii="XO Thames" w:hAnsi="XO Thames"/>
      <w:sz w:val="28"/>
    </w:rPr>
  </w:style>
  <w:style w:type="character" w:styleId="Contents5">
    <w:name w:val="Contents 5"/>
    <w:link w:val="Style_17"/>
    <w:qFormat/>
    <w:rPr>
      <w:rFonts w:ascii="XO Thames" w:hAnsi="XO Thames"/>
      <w:sz w:val="28"/>
    </w:rPr>
  </w:style>
  <w:style w:type="character" w:styleId="Subtitle">
    <w:name w:val="Subtitle"/>
    <w:link w:val="Style_18"/>
    <w:qFormat/>
    <w:rPr>
      <w:rFonts w:ascii="XO Thames" w:hAnsi="XO Thames"/>
      <w:i/>
      <w:sz w:val="24"/>
    </w:rPr>
  </w:style>
  <w:style w:type="character" w:styleId="NormalWeb">
    <w:name w:val="Normal (Web)"/>
    <w:link w:val="Style_19"/>
    <w:qFormat/>
    <w:rPr>
      <w:rFonts w:ascii="Times New Roman" w:hAnsi="Times New Roman"/>
      <w:sz w:val="24"/>
    </w:rPr>
  </w:style>
  <w:style w:type="character" w:styleId="Title">
    <w:name w:val="Title"/>
    <w:link w:val="Style_20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21"/>
    <w:qFormat/>
    <w:rPr>
      <w:rFonts w:ascii="XO Thames" w:hAnsi="XO Thames"/>
      <w:b/>
      <w:sz w:val="24"/>
    </w:rPr>
  </w:style>
  <w:style w:type="character" w:styleId="Heading2">
    <w:name w:val="Heading 2"/>
    <w:link w:val="Style_22"/>
    <w:qFormat/>
    <w:rPr>
      <w:rFonts w:ascii="XO Thames" w:hAnsi="XO Thames"/>
      <w:b/>
      <w:sz w:val="28"/>
    </w:rPr>
  </w:style>
  <w:style w:type="character" w:styleId="21">
    <w:name w:val="Основной текст (2)_"/>
    <w:basedOn w:val="DefaultParagraphFont"/>
    <w:qFormat/>
    <w:rPr>
      <w:sz w:val="28"/>
      <w:szCs w:val="28"/>
      <w:shd w:fill="FFFFFF" w:val="clear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Ari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Arial"/>
    </w:rPr>
  </w:style>
  <w:style w:type="paragraph" w:styleId="22">
    <w:name w:val="TOC 2"/>
    <w:next w:val="Normal"/>
    <w:link w:val="Style_2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DefaultParagraphFont1">
    <w:name w:val="Default Paragraph Font"/>
    <w:link w:val="Style_4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Ari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6">
    <w:name w:val="TOC 6"/>
    <w:next w:val="Normal"/>
    <w:link w:val="Style_5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6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8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Internet link"/>
    <w:basedOn w:val="DefaultParagraphFont1"/>
    <w:link w:val="Style_11_ch"/>
    <w:qFormat/>
    <w:pPr/>
    <w:rPr>
      <w:color w:val="0000FF"/>
      <w:u w:val="single"/>
    </w:rPr>
  </w:style>
  <w:style w:type="paragraph" w:styleId="Footnote1">
    <w:name w:val="Footnote"/>
    <w:link w:val="Style_12_ch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NSimSun" w:cs="Ari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3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Ari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4_ch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NSimSun" w:cs="Arial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5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6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7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NSimSun" w:cs="Ari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8_ch"/>
    <w:uiPriority w:val="11"/>
    <w:qFormat/>
    <w:pPr>
      <w:widowControl/>
      <w:bidi w:val="0"/>
      <w:spacing w:lineRule="auto" w:line="276" w:before="0" w:after="200"/>
      <w:ind w:left="0" w:right="0" w:hanging="0"/>
      <w:jc w:val="both"/>
    </w:pPr>
    <w:rPr>
      <w:rFonts w:ascii="XO Thames" w:hAnsi="XO Thames" w:eastAsia="NSimSun" w:cs="Ari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NormalWeb1">
    <w:name w:val="Normal (Web)"/>
    <w:basedOn w:val="Normal"/>
    <w:link w:val="Style_19_ch"/>
    <w:qFormat/>
    <w:pPr>
      <w:spacing w:lineRule="auto" w:line="240" w:beforeAutospacing="1" w:afterAutospacing="1"/>
    </w:pPr>
    <w:rPr>
      <w:rFonts w:ascii="Times New Roman" w:hAnsi="Times New Roman"/>
      <w:sz w:val="24"/>
    </w:rPr>
  </w:style>
  <w:style w:type="paragraph" w:styleId="Style17">
    <w:name w:val="Title"/>
    <w:next w:val="Normal"/>
    <w:link w:val="Style_20_ch"/>
    <w:uiPriority w:val="10"/>
    <w:qFormat/>
    <w:pPr>
      <w:widowControl/>
      <w:bidi w:val="0"/>
      <w:spacing w:lineRule="auto" w:line="276" w:before="567" w:after="567"/>
      <w:ind w:left="0" w:right="0" w:hanging="0"/>
      <w:jc w:val="center"/>
    </w:pPr>
    <w:rPr>
      <w:rFonts w:ascii="XO Thames" w:hAnsi="XO Thames" w:eastAsia="NSimSun" w:cs="Arial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table" w:default="1" w:styleId="Style_23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LibreOffice/6.3.3.2$Windows_X86_64 LibreOffice_project/a64200df03143b798afd1ec74a12ab50359878ed</Application>
  <Pages>5</Pages>
  <Words>1257</Words>
  <Characters>9914</Characters>
  <CharactersWithSpaces>11122</CharactersWithSpaces>
  <Paragraphs>54</Paragraphs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2022-12-15T10:31:00Z</dcterms:created>
  <dc:creator/>
  <dc:description/>
  <dc:language>ru-RU</dc:language>
  <cp:lastModifiedBy/>
  <cp:lastPrinted>2022-12-15T11:28:42Z</cp:lastPrinted>
  <dcterms:modified xsi:type="dcterms:W3CDTF">2022-12-15T11:28:23Z</dcterms:modified>
  <cp:revision>12</cp:revision>
  <dc:subject/>
  <dc:title>Постановление Правительства Вологодской области от 08.11.2021 N 1269(ред. от 14.11.2022)"О региональном государственном экологическом контроле (надзоре)"(вместе с "Положением о региональном государственном экологическом контроле (надзоре) (далее - Положение)", "Перечнем объектов, подлежащих региональному государственному экологическому контролю (надзору) Департаментом природных ресурсов и охраны окружающей среды области и органами местного самоуправления", "Перечнем индикаторов риска нарушения обязательн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4022.00.55</vt:lpwstr>
  </property>
  <property fmtid="{D5CDD505-2E9C-101B-9397-08002B2CF9AE}" pid="3" name="DocSecurity">
    <vt:i4>0</vt:i4>
  </property>
  <property fmtid="{D5CDD505-2E9C-101B-9397-08002B2CF9AE}" pid="4" name="ScaleCrop">
    <vt:bool>0</vt:bool>
  </property>
</Properties>
</file>